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A8FAB" w14:textId="6B82997B" w:rsidR="00626552" w:rsidRPr="00626552" w:rsidRDefault="00626552" w:rsidP="00626552">
      <w:pPr>
        <w:spacing w:after="0" w:line="240" w:lineRule="auto"/>
        <w:jc w:val="center"/>
        <w:rPr>
          <w:rFonts w:ascii="Times New Roman" w:eastAsia="Times New Roman" w:hAnsi="Times New Roman" w:cs="Times New Roman"/>
          <w:b/>
          <w:caps/>
          <w:sz w:val="24"/>
          <w:szCs w:val="24"/>
        </w:rPr>
      </w:pPr>
      <w:bookmarkStart w:id="0" w:name="_Hlk102549316"/>
      <w:r w:rsidRPr="00626552">
        <w:rPr>
          <w:rFonts w:ascii="Times New Roman" w:eastAsia="Times New Roman" w:hAnsi="Times New Roman" w:cs="Times New Roman"/>
          <w:b/>
          <w:caps/>
          <w:sz w:val="24"/>
          <w:szCs w:val="24"/>
        </w:rPr>
        <w:t>SOAH DOCKET NO. 473-</w:t>
      </w:r>
      <w:r w:rsidR="0038378D">
        <w:rPr>
          <w:rFonts w:ascii="Times New Roman" w:eastAsia="Times New Roman" w:hAnsi="Times New Roman" w:cs="Times New Roman"/>
          <w:b/>
          <w:caps/>
          <w:sz w:val="24"/>
          <w:szCs w:val="24"/>
        </w:rPr>
        <w:t>22-1073</w:t>
      </w:r>
    </w:p>
    <w:p w14:paraId="3396421A" w14:textId="56C2C9D2" w:rsidR="00626552" w:rsidRPr="00626552" w:rsidRDefault="00626552" w:rsidP="00626552">
      <w:pPr>
        <w:spacing w:after="0" w:line="240" w:lineRule="auto"/>
        <w:jc w:val="center"/>
        <w:rPr>
          <w:rFonts w:ascii="Times New Roman" w:eastAsia="Times New Roman" w:hAnsi="Times New Roman" w:cs="Times New Roman"/>
          <w:b/>
          <w:caps/>
          <w:sz w:val="24"/>
          <w:szCs w:val="24"/>
        </w:rPr>
      </w:pPr>
      <w:r w:rsidRPr="00626552">
        <w:rPr>
          <w:rFonts w:ascii="Times New Roman" w:eastAsia="Times New Roman" w:hAnsi="Times New Roman" w:cs="Times New Roman"/>
          <w:b/>
          <w:caps/>
          <w:sz w:val="24"/>
          <w:szCs w:val="24"/>
        </w:rPr>
        <w:t xml:space="preserve">PUC DOCKET NO. </w:t>
      </w:r>
      <w:r w:rsidR="0038378D">
        <w:rPr>
          <w:rFonts w:ascii="Times New Roman" w:eastAsia="Times New Roman" w:hAnsi="Times New Roman" w:cs="Times New Roman"/>
          <w:b/>
          <w:caps/>
          <w:sz w:val="24"/>
          <w:szCs w:val="24"/>
        </w:rPr>
        <w:t>52485</w:t>
      </w:r>
    </w:p>
    <w:bookmarkEnd w:id="0"/>
    <w:p w14:paraId="2672B504" w14:textId="77777777" w:rsidR="00626552" w:rsidRPr="00626552" w:rsidRDefault="00626552" w:rsidP="00626552">
      <w:pPr>
        <w:spacing w:after="0" w:line="240" w:lineRule="auto"/>
        <w:jc w:val="center"/>
        <w:rPr>
          <w:rFonts w:ascii="Times New Roman" w:eastAsia="Times New Roman" w:hAnsi="Times New Roman" w:cs="Times New Roman"/>
          <w:b/>
          <w:caps/>
          <w:sz w:val="24"/>
          <w:szCs w:val="24"/>
        </w:rPr>
      </w:pPr>
    </w:p>
    <w:tbl>
      <w:tblPr>
        <w:tblW w:w="0" w:type="auto"/>
        <w:tblLayout w:type="fixed"/>
        <w:tblLook w:val="01E0" w:firstRow="1" w:lastRow="1" w:firstColumn="1" w:lastColumn="1" w:noHBand="0" w:noVBand="0"/>
      </w:tblPr>
      <w:tblGrid>
        <w:gridCol w:w="4788"/>
        <w:gridCol w:w="270"/>
        <w:gridCol w:w="4518"/>
      </w:tblGrid>
      <w:tr w:rsidR="00626552" w:rsidRPr="00626552" w14:paraId="6B49DBB2" w14:textId="77777777" w:rsidTr="00546606">
        <w:trPr>
          <w:trHeight w:val="1953"/>
        </w:trPr>
        <w:tc>
          <w:tcPr>
            <w:tcW w:w="4788" w:type="dxa"/>
          </w:tcPr>
          <w:p w14:paraId="19971E91" w14:textId="144D2811" w:rsidR="00626552" w:rsidRPr="00626552" w:rsidRDefault="0038378D" w:rsidP="00626552">
            <w:pPr>
              <w:spacing w:after="0" w:line="240" w:lineRule="auto"/>
              <w:rPr>
                <w:rFonts w:ascii="Times New Roman" w:eastAsia="Times New Roman" w:hAnsi="Times New Roman" w:cs="Times New Roman"/>
                <w:b/>
                <w:bCs/>
                <w:sz w:val="24"/>
                <w:szCs w:val="20"/>
              </w:rPr>
            </w:pPr>
            <w:r w:rsidRPr="0038378D">
              <w:rPr>
                <w:rFonts w:ascii="Times New Roman" w:eastAsia="Times New Roman" w:hAnsi="Times New Roman" w:cs="Times New Roman"/>
                <w:b/>
                <w:bCs/>
                <w:sz w:val="24"/>
                <w:szCs w:val="20"/>
              </w:rPr>
              <w:t>APPLICATION OF SOUTHWESTERN PUBLIC SERVICE COMPANY TO AMEND ITS CERTIFICATE OF CONVENIENCE AND NECESSITY TO CONVERT HARRINGTON GENERATING STATION FROM COAL TO NATURAL GAS</w:t>
            </w:r>
          </w:p>
        </w:tc>
        <w:tc>
          <w:tcPr>
            <w:tcW w:w="270" w:type="dxa"/>
          </w:tcPr>
          <w:p w14:paraId="557C586C"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1E590678"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5859FE43"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0F7C33EC"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2AE0A792"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078966C8"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3D38B8DC"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tc>
        <w:tc>
          <w:tcPr>
            <w:tcW w:w="4518" w:type="dxa"/>
          </w:tcPr>
          <w:p w14:paraId="44189E39" w14:textId="77777777" w:rsidR="00626552" w:rsidRPr="00626552" w:rsidRDefault="00626552" w:rsidP="00626552">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BEFORE THE STATE OFFICE</w:t>
            </w:r>
          </w:p>
          <w:p w14:paraId="7F7AC36D" w14:textId="77777777" w:rsidR="00626552" w:rsidRPr="00626552" w:rsidRDefault="00626552" w:rsidP="00626552">
            <w:pPr>
              <w:keepNext/>
              <w:tabs>
                <w:tab w:val="center" w:pos="4770"/>
                <w:tab w:val="left" w:pos="5400"/>
              </w:tabs>
              <w:spacing w:after="0" w:line="240" w:lineRule="auto"/>
              <w:jc w:val="both"/>
              <w:rPr>
                <w:rFonts w:ascii="Times New Roman" w:eastAsia="Times New Roman" w:hAnsi="Times New Roman" w:cs="Times New Roman"/>
                <w:b/>
                <w:bCs/>
                <w:caps/>
                <w:sz w:val="24"/>
                <w:szCs w:val="20"/>
              </w:rPr>
            </w:pPr>
          </w:p>
          <w:p w14:paraId="23A81AD2" w14:textId="77777777" w:rsidR="00626552" w:rsidRPr="00626552" w:rsidRDefault="00626552" w:rsidP="00626552">
            <w:pPr>
              <w:keepNext/>
              <w:tabs>
                <w:tab w:val="center" w:pos="4770"/>
                <w:tab w:val="left" w:pos="5400"/>
              </w:tabs>
              <w:spacing w:after="0" w:line="240" w:lineRule="auto"/>
              <w:jc w:val="both"/>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w:t>
            </w:r>
          </w:p>
          <w:p w14:paraId="0319A543" w14:textId="77777777" w:rsidR="00626552" w:rsidRPr="00626552" w:rsidRDefault="00626552" w:rsidP="00626552">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OF</w:t>
            </w:r>
            <w:r w:rsidRPr="00626552">
              <w:rPr>
                <w:rFonts w:ascii="Times New Roman" w:eastAsia="Times New Roman" w:hAnsi="Times New Roman" w:cs="Times New Roman"/>
                <w:b/>
                <w:bCs/>
                <w:caps/>
                <w:sz w:val="24"/>
                <w:szCs w:val="20"/>
              </w:rPr>
              <w:br/>
            </w:r>
          </w:p>
          <w:p w14:paraId="09E5ACF2" w14:textId="77777777" w:rsidR="00626552" w:rsidRPr="00626552" w:rsidRDefault="00626552" w:rsidP="00626552">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w:t>
            </w:r>
          </w:p>
          <w:p w14:paraId="4B287CD5" w14:textId="77777777" w:rsidR="00626552" w:rsidRPr="00626552" w:rsidRDefault="00626552" w:rsidP="00626552">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ADMINISTRATIVE HEARINGS</w:t>
            </w:r>
          </w:p>
        </w:tc>
      </w:tr>
    </w:tbl>
    <w:p w14:paraId="0B7E34E7" w14:textId="77777777" w:rsidR="00626552" w:rsidRPr="00626552" w:rsidRDefault="00626552" w:rsidP="00626552">
      <w:pPr>
        <w:spacing w:after="0" w:line="240" w:lineRule="auto"/>
        <w:jc w:val="center"/>
        <w:rPr>
          <w:rFonts w:ascii="Times New Roman" w:eastAsia="Times New Roman" w:hAnsi="Times New Roman" w:cs="Times New Roman"/>
          <w:b/>
          <w:bCs/>
          <w:sz w:val="24"/>
          <w:szCs w:val="20"/>
        </w:rPr>
      </w:pPr>
    </w:p>
    <w:p w14:paraId="03C03180" w14:textId="77777777" w:rsidR="00626552" w:rsidRPr="00626552" w:rsidRDefault="00626552" w:rsidP="00626552">
      <w:pPr>
        <w:keepNext/>
        <w:spacing w:after="0" w:line="240" w:lineRule="auto"/>
        <w:jc w:val="center"/>
        <w:rPr>
          <w:rFonts w:ascii="Times New Roman" w:eastAsia="Times New Roman" w:hAnsi="Times New Roman" w:cs="Times New Roman"/>
          <w:b/>
          <w:caps/>
          <w:sz w:val="28"/>
          <w:szCs w:val="20"/>
        </w:rPr>
      </w:pPr>
    </w:p>
    <w:p w14:paraId="7F37BC16" w14:textId="77777777" w:rsidR="00626552" w:rsidRPr="00626552" w:rsidRDefault="00626552" w:rsidP="00626552">
      <w:pPr>
        <w:keepNext/>
        <w:spacing w:after="0" w:line="240" w:lineRule="auto"/>
        <w:jc w:val="center"/>
        <w:rPr>
          <w:rFonts w:ascii="Times New Roman" w:eastAsia="Times New Roman" w:hAnsi="Times New Roman" w:cs="Times New Roman"/>
          <w:b/>
          <w:caps/>
          <w:sz w:val="24"/>
          <w:szCs w:val="24"/>
        </w:rPr>
      </w:pPr>
      <w:r w:rsidRPr="00626552">
        <w:rPr>
          <w:rFonts w:ascii="Times New Roman" w:eastAsia="Times New Roman" w:hAnsi="Times New Roman" w:cs="Times New Roman"/>
          <w:b/>
          <w:caps/>
          <w:sz w:val="24"/>
          <w:szCs w:val="24"/>
        </w:rPr>
        <w:t>commission staff’s initial brief</w:t>
      </w:r>
    </w:p>
    <w:p w14:paraId="183787DD" w14:textId="77777777" w:rsidR="00626552" w:rsidRPr="00626552" w:rsidRDefault="00626552" w:rsidP="00626552">
      <w:pPr>
        <w:keepNext/>
        <w:spacing w:after="0" w:line="240" w:lineRule="auto"/>
        <w:jc w:val="center"/>
        <w:rPr>
          <w:rFonts w:ascii="Times New Roman" w:eastAsia="Times New Roman" w:hAnsi="Times New Roman" w:cs="Times New Roman"/>
          <w:b/>
          <w:caps/>
          <w:sz w:val="28"/>
          <w:szCs w:val="20"/>
        </w:rPr>
      </w:pPr>
    </w:p>
    <w:p w14:paraId="2563E41B" w14:textId="77777777" w:rsidR="00626552" w:rsidRPr="00626552" w:rsidRDefault="00626552" w:rsidP="00626552">
      <w:pPr>
        <w:keepNext/>
        <w:spacing w:after="0" w:line="240" w:lineRule="auto"/>
        <w:ind w:left="4320"/>
        <w:jc w:val="both"/>
        <w:rPr>
          <w:rFonts w:ascii="Times New Roman" w:eastAsia="Times New Roman" w:hAnsi="Times New Roman" w:cs="Times New Roman"/>
          <w:bCs/>
          <w:sz w:val="24"/>
          <w:szCs w:val="24"/>
        </w:rPr>
      </w:pPr>
    </w:p>
    <w:p w14:paraId="0432A9D7" w14:textId="77777777" w:rsidR="00626552" w:rsidRPr="00626552" w:rsidRDefault="00626552" w:rsidP="00626552">
      <w:pPr>
        <w:spacing w:after="0" w:line="240" w:lineRule="auto"/>
        <w:ind w:left="5040"/>
        <w:contextualSpacing/>
        <w:jc w:val="both"/>
        <w:rPr>
          <w:rFonts w:ascii="Times New Roman" w:eastAsia="Times New Roman" w:hAnsi="Times New Roman" w:cs="Times New Roman"/>
          <w:b/>
          <w:sz w:val="24"/>
          <w:szCs w:val="24"/>
        </w:rPr>
      </w:pPr>
      <w:r w:rsidRPr="00626552">
        <w:rPr>
          <w:rFonts w:ascii="Times New Roman" w:eastAsia="Times New Roman" w:hAnsi="Times New Roman" w:cs="Times New Roman"/>
          <w:b/>
          <w:sz w:val="24"/>
          <w:szCs w:val="24"/>
        </w:rPr>
        <w:t>PUBLIC UTILITY COMMISSION OF TEXAS LEGAL DIVISION</w:t>
      </w:r>
    </w:p>
    <w:p w14:paraId="26AA6244" w14:textId="77777777" w:rsidR="00626552" w:rsidRPr="00626552" w:rsidRDefault="00626552" w:rsidP="00626552">
      <w:pPr>
        <w:spacing w:after="0" w:line="240" w:lineRule="auto"/>
        <w:ind w:left="3600" w:firstLine="720"/>
        <w:jc w:val="both"/>
        <w:rPr>
          <w:rFonts w:ascii="Times New Roman" w:eastAsia="Times New Roman" w:hAnsi="Times New Roman" w:cs="Times New Roman"/>
          <w:sz w:val="24"/>
          <w:szCs w:val="20"/>
        </w:rPr>
      </w:pPr>
    </w:p>
    <w:p w14:paraId="71889747" w14:textId="097666BB" w:rsidR="00626552" w:rsidRPr="00626552" w:rsidRDefault="00626552" w:rsidP="00626552">
      <w:pPr>
        <w:spacing w:after="0" w:line="240" w:lineRule="auto"/>
        <w:ind w:left="4320"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Keith Rogas </w:t>
      </w:r>
    </w:p>
    <w:p w14:paraId="20207110" w14:textId="1E4FB907" w:rsidR="00626552" w:rsidRDefault="00626552" w:rsidP="00626552">
      <w:pPr>
        <w:spacing w:after="0" w:line="240" w:lineRule="auto"/>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t xml:space="preserve">Division Director </w:t>
      </w:r>
    </w:p>
    <w:p w14:paraId="7379F1A5" w14:textId="2838384F" w:rsidR="00626552" w:rsidRDefault="00626552" w:rsidP="00626552">
      <w:pPr>
        <w:spacing w:after="0" w:line="240" w:lineRule="auto"/>
        <w:rPr>
          <w:rFonts w:ascii="Times New Roman" w:eastAsia="Times New Roman" w:hAnsi="Times New Roman" w:cs="Times New Roman"/>
          <w:sz w:val="24"/>
          <w:szCs w:val="20"/>
        </w:rPr>
      </w:pPr>
    </w:p>
    <w:p w14:paraId="0FD501CC" w14:textId="7896B8CB" w:rsidR="00626552" w:rsidRDefault="00626552" w:rsidP="00626552">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t>Robert Dakota Parish</w:t>
      </w:r>
    </w:p>
    <w:p w14:paraId="493C2F31" w14:textId="6B813CAC" w:rsidR="00626552" w:rsidRPr="00626552" w:rsidRDefault="00626552" w:rsidP="00626552">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t xml:space="preserve">Managing Attorney </w:t>
      </w:r>
    </w:p>
    <w:p w14:paraId="179E2671" w14:textId="77777777" w:rsidR="00626552" w:rsidRPr="00626552" w:rsidRDefault="00626552" w:rsidP="00626552">
      <w:pPr>
        <w:spacing w:after="0" w:line="240" w:lineRule="auto"/>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p>
    <w:p w14:paraId="2935764C" w14:textId="77777777" w:rsidR="00626552" w:rsidRPr="00626552" w:rsidRDefault="00626552" w:rsidP="00626552">
      <w:pPr>
        <w:spacing w:after="0" w:line="240" w:lineRule="auto"/>
        <w:jc w:val="both"/>
        <w:rPr>
          <w:rFonts w:ascii="Times New Roman" w:eastAsia="Times New Roman" w:hAnsi="Times New Roman" w:cs="Times New Roman"/>
          <w:sz w:val="24"/>
          <w:szCs w:val="20"/>
        </w:rPr>
      </w:pPr>
    </w:p>
    <w:p w14:paraId="030812C3" w14:textId="1B22BAB0"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0096627C">
        <w:rPr>
          <w:rFonts w:ascii="Times New Roman" w:eastAsia="Times New Roman" w:hAnsi="Times New Roman" w:cs="Times New Roman"/>
          <w:sz w:val="24"/>
          <w:szCs w:val="20"/>
          <w:u w:val="single"/>
        </w:rPr>
        <w:t>/</w:t>
      </w:r>
      <w:bookmarkStart w:id="1" w:name="_Hlk103171637"/>
      <w:r w:rsidR="0096627C">
        <w:rPr>
          <w:rFonts w:ascii="Times New Roman" w:eastAsia="Times New Roman" w:hAnsi="Times New Roman" w:cs="Times New Roman"/>
          <w:i/>
          <w:iCs/>
          <w:sz w:val="24"/>
          <w:szCs w:val="20"/>
          <w:u w:val="single"/>
        </w:rPr>
        <w:t>s</w:t>
      </w:r>
      <w:r w:rsidR="0096627C">
        <w:rPr>
          <w:rFonts w:ascii="Times New Roman" w:eastAsia="Times New Roman" w:hAnsi="Times New Roman" w:cs="Times New Roman"/>
          <w:sz w:val="24"/>
          <w:szCs w:val="20"/>
          <w:u w:val="single"/>
        </w:rPr>
        <w:t>/Mildred Anaele</w:t>
      </w:r>
      <w:bookmarkEnd w:id="1"/>
    </w:p>
    <w:p w14:paraId="67C46B73" w14:textId="6435EA1F"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Pr>
          <w:rFonts w:ascii="Times New Roman" w:eastAsia="Times New Roman" w:hAnsi="Times New Roman" w:cs="Times New Roman"/>
          <w:sz w:val="24"/>
          <w:szCs w:val="20"/>
        </w:rPr>
        <w:t>Mildred Anaele</w:t>
      </w:r>
    </w:p>
    <w:p w14:paraId="755B05D9" w14:textId="38966750"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t>State Bar No. 24</w:t>
      </w:r>
      <w:r>
        <w:rPr>
          <w:rFonts w:ascii="Times New Roman" w:eastAsia="Times New Roman" w:hAnsi="Times New Roman" w:cs="Times New Roman"/>
          <w:sz w:val="24"/>
          <w:szCs w:val="20"/>
        </w:rPr>
        <w:t>100119</w:t>
      </w:r>
    </w:p>
    <w:p w14:paraId="3FFC5C54" w14:textId="5A828987"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Pr>
          <w:rFonts w:ascii="Times New Roman" w:eastAsia="Times New Roman" w:hAnsi="Times New Roman" w:cs="Times New Roman"/>
          <w:sz w:val="24"/>
          <w:szCs w:val="20"/>
        </w:rPr>
        <w:t>Phillip Lehmann</w:t>
      </w:r>
    </w:p>
    <w:p w14:paraId="120DACB4" w14:textId="799931CC"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t xml:space="preserve">State Bar No. </w:t>
      </w:r>
      <w:r w:rsidR="00ED0A46" w:rsidRPr="00626552">
        <w:rPr>
          <w:rFonts w:ascii="Times New Roman" w:eastAsia="Times New Roman" w:hAnsi="Times New Roman" w:cs="Times New Roman"/>
          <w:sz w:val="24"/>
          <w:szCs w:val="20"/>
        </w:rPr>
        <w:t>2</w:t>
      </w:r>
      <w:r w:rsidR="00ED0A46">
        <w:rPr>
          <w:rFonts w:ascii="Times New Roman" w:eastAsia="Times New Roman" w:hAnsi="Times New Roman" w:cs="Times New Roman"/>
          <w:sz w:val="24"/>
          <w:szCs w:val="20"/>
        </w:rPr>
        <w:t>4100140</w:t>
      </w:r>
    </w:p>
    <w:p w14:paraId="31A72652" w14:textId="77777777"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t>1701 N. Congress Avenue</w:t>
      </w:r>
    </w:p>
    <w:p w14:paraId="7475E2B7" w14:textId="77777777"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smartTag w:uri="urn:schemas-microsoft-com:office:smarttags" w:element="address">
        <w:smartTag w:uri="urn:schemas-microsoft-com:office:smarttags" w:element="Street">
          <w:r w:rsidRPr="00626552">
            <w:rPr>
              <w:rFonts w:ascii="Times New Roman" w:eastAsia="Times New Roman" w:hAnsi="Times New Roman" w:cs="Times New Roman"/>
              <w:sz w:val="24"/>
              <w:szCs w:val="20"/>
            </w:rPr>
            <w:t>P.O. Box</w:t>
          </w:r>
        </w:smartTag>
        <w:r w:rsidRPr="00626552">
          <w:rPr>
            <w:rFonts w:ascii="Times New Roman" w:eastAsia="Times New Roman" w:hAnsi="Times New Roman" w:cs="Times New Roman"/>
            <w:sz w:val="24"/>
            <w:szCs w:val="20"/>
          </w:rPr>
          <w:t xml:space="preserve"> 13326</w:t>
        </w:r>
      </w:smartTag>
    </w:p>
    <w:p w14:paraId="698778E5" w14:textId="77777777"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smartTag w:uri="urn:schemas-microsoft-com:office:smarttags" w:element="place">
        <w:smartTag w:uri="urn:schemas-microsoft-com:office:smarttags" w:element="City">
          <w:r w:rsidRPr="00626552">
            <w:rPr>
              <w:rFonts w:ascii="Times New Roman" w:eastAsia="Times New Roman" w:hAnsi="Times New Roman" w:cs="Times New Roman"/>
              <w:sz w:val="24"/>
              <w:szCs w:val="20"/>
            </w:rPr>
            <w:t>Austin</w:t>
          </w:r>
        </w:smartTag>
        <w:r w:rsidRPr="00626552">
          <w:rPr>
            <w:rFonts w:ascii="Times New Roman" w:eastAsia="Times New Roman" w:hAnsi="Times New Roman" w:cs="Times New Roman"/>
            <w:sz w:val="24"/>
            <w:szCs w:val="20"/>
          </w:rPr>
          <w:t xml:space="preserve">, </w:t>
        </w:r>
        <w:smartTag w:uri="urn:schemas-microsoft-com:office:smarttags" w:element="State">
          <w:r w:rsidRPr="00626552">
            <w:rPr>
              <w:rFonts w:ascii="Times New Roman" w:eastAsia="Times New Roman" w:hAnsi="Times New Roman" w:cs="Times New Roman"/>
              <w:sz w:val="24"/>
              <w:szCs w:val="20"/>
            </w:rPr>
            <w:t>Texas</w:t>
          </w:r>
        </w:smartTag>
        <w:r w:rsidRPr="00626552">
          <w:rPr>
            <w:rFonts w:ascii="Times New Roman" w:eastAsia="Times New Roman" w:hAnsi="Times New Roman" w:cs="Times New Roman"/>
            <w:sz w:val="24"/>
            <w:szCs w:val="20"/>
          </w:rPr>
          <w:t xml:space="preserve"> </w:t>
        </w:r>
        <w:smartTag w:uri="urn:schemas-microsoft-com:office:smarttags" w:element="PostalCode">
          <w:r w:rsidRPr="00626552">
            <w:rPr>
              <w:rFonts w:ascii="Times New Roman" w:eastAsia="Times New Roman" w:hAnsi="Times New Roman" w:cs="Times New Roman"/>
              <w:sz w:val="24"/>
              <w:szCs w:val="20"/>
            </w:rPr>
            <w:t>78711-3326</w:t>
          </w:r>
        </w:smartTag>
      </w:smartTag>
    </w:p>
    <w:p w14:paraId="0D35D11F" w14:textId="5FEDAA2D"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t>(512) 936-7</w:t>
      </w:r>
      <w:r>
        <w:rPr>
          <w:rFonts w:ascii="Times New Roman" w:eastAsia="Times New Roman" w:hAnsi="Times New Roman" w:cs="Times New Roman"/>
          <w:sz w:val="24"/>
          <w:szCs w:val="20"/>
        </w:rPr>
        <w:t>345</w:t>
      </w:r>
    </w:p>
    <w:p w14:paraId="64A44343" w14:textId="77777777"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t>(512) 936-7268 (facsimile)</w:t>
      </w:r>
    </w:p>
    <w:p w14:paraId="0CB5599A" w14:textId="5A59C9F5" w:rsidR="00626552" w:rsidRPr="00626552" w:rsidRDefault="00626552" w:rsidP="00626552">
      <w:pPr>
        <w:spacing w:after="0" w:line="240" w:lineRule="auto"/>
        <w:jc w:val="both"/>
        <w:rPr>
          <w:rFonts w:ascii="Times New Roman" w:eastAsia="Times New Roman" w:hAnsi="Times New Roman" w:cs="Times New Roman"/>
          <w:sz w:val="24"/>
          <w:szCs w:val="20"/>
        </w:rPr>
      </w:pP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sidRPr="00626552">
        <w:rPr>
          <w:rFonts w:ascii="Times New Roman" w:eastAsia="Times New Roman" w:hAnsi="Times New Roman" w:cs="Times New Roman"/>
          <w:sz w:val="24"/>
          <w:szCs w:val="20"/>
        </w:rPr>
        <w:tab/>
      </w:r>
      <w:r>
        <w:rPr>
          <w:rFonts w:ascii="Times New Roman" w:eastAsia="Times New Roman" w:hAnsi="Times New Roman" w:cs="Times New Roman"/>
          <w:sz w:val="24"/>
          <w:szCs w:val="20"/>
        </w:rPr>
        <w:t>Mildred.Anaele</w:t>
      </w:r>
      <w:r w:rsidRPr="00626552">
        <w:rPr>
          <w:rFonts w:ascii="Times New Roman" w:eastAsia="Times New Roman" w:hAnsi="Times New Roman" w:cs="Times New Roman"/>
          <w:sz w:val="24"/>
          <w:szCs w:val="20"/>
        </w:rPr>
        <w:t>@puc.texas.gov</w:t>
      </w:r>
    </w:p>
    <w:p w14:paraId="243B30E1" w14:textId="77777777" w:rsidR="00626552" w:rsidRPr="00626552" w:rsidRDefault="00626552" w:rsidP="00626552">
      <w:pPr>
        <w:spacing w:after="0" w:line="240" w:lineRule="auto"/>
        <w:jc w:val="both"/>
        <w:rPr>
          <w:rFonts w:ascii="Times New Roman" w:eastAsia="Times New Roman" w:hAnsi="Times New Roman" w:cs="Times New Roman"/>
          <w:sz w:val="24"/>
          <w:szCs w:val="20"/>
        </w:rPr>
      </w:pPr>
    </w:p>
    <w:p w14:paraId="0DCEE99B" w14:textId="77777777" w:rsidR="00626552" w:rsidRPr="00626552" w:rsidRDefault="00626552" w:rsidP="00626552">
      <w:pPr>
        <w:spacing w:after="0" w:line="240" w:lineRule="auto"/>
        <w:jc w:val="center"/>
        <w:rPr>
          <w:rFonts w:ascii="Times New Roman" w:eastAsia="Times New Roman" w:hAnsi="Times New Roman" w:cs="Times New Roman"/>
          <w:b/>
          <w:caps/>
          <w:sz w:val="28"/>
          <w:szCs w:val="20"/>
        </w:rPr>
      </w:pPr>
    </w:p>
    <w:p w14:paraId="55E485D2" w14:textId="77777777" w:rsidR="00626552" w:rsidRPr="00626552" w:rsidRDefault="00626552" w:rsidP="00626552">
      <w:pPr>
        <w:spacing w:after="0" w:line="240" w:lineRule="auto"/>
        <w:jc w:val="center"/>
        <w:rPr>
          <w:rFonts w:ascii="Times New Roman" w:eastAsia="Times New Roman" w:hAnsi="Times New Roman" w:cs="Times New Roman"/>
          <w:bCs/>
          <w:sz w:val="24"/>
          <w:szCs w:val="24"/>
        </w:rPr>
      </w:pPr>
    </w:p>
    <w:p w14:paraId="3AEEB111" w14:textId="77777777" w:rsidR="00626552" w:rsidRPr="00626552" w:rsidRDefault="00626552" w:rsidP="00626552">
      <w:pPr>
        <w:spacing w:after="0" w:line="240" w:lineRule="auto"/>
        <w:jc w:val="center"/>
        <w:rPr>
          <w:rFonts w:ascii="Times New Roman" w:eastAsia="Times New Roman" w:hAnsi="Times New Roman" w:cs="Times New Roman"/>
          <w:bCs/>
          <w:sz w:val="24"/>
          <w:szCs w:val="24"/>
        </w:rPr>
      </w:pPr>
    </w:p>
    <w:p w14:paraId="35C99783" w14:textId="77777777" w:rsidR="00F73F1C" w:rsidRDefault="00CB4657" w:rsidP="00CB4657">
      <w:pPr>
        <w:spacing w:after="0" w:line="240" w:lineRule="auto"/>
        <w:jc w:val="center"/>
        <w:rPr>
          <w:rFonts w:ascii="Times New Roman" w:eastAsia="Times New Roman" w:hAnsi="Times New Roman" w:cs="Times New Roman"/>
          <w:bCs/>
          <w:caps/>
          <w:sz w:val="24"/>
          <w:szCs w:val="24"/>
        </w:rPr>
      </w:pPr>
      <w:r>
        <w:rPr>
          <w:rFonts w:ascii="Times New Roman" w:eastAsia="Times New Roman" w:hAnsi="Times New Roman" w:cs="Times New Roman"/>
          <w:bCs/>
          <w:sz w:val="24"/>
          <w:szCs w:val="24"/>
        </w:rPr>
        <w:t xml:space="preserve">May </w:t>
      </w:r>
      <w:r>
        <w:rPr>
          <w:rFonts w:ascii="Times New Roman" w:eastAsia="Times New Roman" w:hAnsi="Times New Roman" w:cs="Times New Roman"/>
          <w:bCs/>
          <w:caps/>
          <w:sz w:val="24"/>
          <w:szCs w:val="24"/>
        </w:rPr>
        <w:t>11</w:t>
      </w:r>
      <w:r w:rsidR="00626552" w:rsidRPr="00626552">
        <w:rPr>
          <w:rFonts w:ascii="Times New Roman" w:eastAsia="Times New Roman" w:hAnsi="Times New Roman" w:cs="Times New Roman"/>
          <w:bCs/>
          <w:caps/>
          <w:sz w:val="24"/>
          <w:szCs w:val="24"/>
        </w:rPr>
        <w:t>, 202</w:t>
      </w:r>
      <w:r>
        <w:rPr>
          <w:rFonts w:ascii="Times New Roman" w:eastAsia="Times New Roman" w:hAnsi="Times New Roman" w:cs="Times New Roman"/>
          <w:bCs/>
          <w:caps/>
          <w:sz w:val="24"/>
          <w:szCs w:val="24"/>
        </w:rPr>
        <w:t>2</w:t>
      </w:r>
    </w:p>
    <w:p w14:paraId="018404E9" w14:textId="77777777" w:rsidR="00F73F1C" w:rsidRDefault="00F73F1C" w:rsidP="00CB4657">
      <w:pPr>
        <w:spacing w:after="0" w:line="240" w:lineRule="auto"/>
        <w:jc w:val="center"/>
        <w:rPr>
          <w:rFonts w:ascii="Times New Roman" w:eastAsia="Times New Roman" w:hAnsi="Times New Roman" w:cs="Times New Roman"/>
          <w:bCs/>
          <w:caps/>
          <w:sz w:val="24"/>
          <w:szCs w:val="24"/>
        </w:rPr>
      </w:pPr>
    </w:p>
    <w:p w14:paraId="32BD264B" w14:textId="77777777" w:rsidR="00F73F1C" w:rsidRDefault="00F73F1C" w:rsidP="00CB4657">
      <w:pPr>
        <w:spacing w:after="0" w:line="240" w:lineRule="auto"/>
        <w:jc w:val="center"/>
        <w:rPr>
          <w:rFonts w:ascii="Times New Roman" w:eastAsia="Times New Roman" w:hAnsi="Times New Roman" w:cs="Times New Roman"/>
          <w:bCs/>
          <w:caps/>
          <w:sz w:val="24"/>
          <w:szCs w:val="24"/>
        </w:rPr>
      </w:pPr>
    </w:p>
    <w:p w14:paraId="5CB42430" w14:textId="77777777" w:rsidR="00F73F1C" w:rsidRDefault="00F73F1C" w:rsidP="00CB4657">
      <w:pPr>
        <w:spacing w:after="0" w:line="240" w:lineRule="auto"/>
        <w:jc w:val="center"/>
        <w:rPr>
          <w:rFonts w:ascii="Times New Roman" w:eastAsia="Times New Roman" w:hAnsi="Times New Roman" w:cs="Times New Roman"/>
          <w:bCs/>
          <w:caps/>
          <w:sz w:val="24"/>
          <w:szCs w:val="24"/>
        </w:rPr>
      </w:pPr>
    </w:p>
    <w:p w14:paraId="10AC4575" w14:textId="77777777" w:rsidR="00F73F1C" w:rsidRDefault="00F73F1C" w:rsidP="00CB4657">
      <w:pPr>
        <w:spacing w:after="0" w:line="240" w:lineRule="auto"/>
        <w:jc w:val="center"/>
        <w:rPr>
          <w:rFonts w:ascii="Times New Roman" w:eastAsia="Times New Roman" w:hAnsi="Times New Roman" w:cs="Times New Roman"/>
          <w:bCs/>
          <w:caps/>
          <w:sz w:val="24"/>
          <w:szCs w:val="24"/>
        </w:rPr>
      </w:pPr>
    </w:p>
    <w:p w14:paraId="34455DCB" w14:textId="77777777" w:rsidR="00F73F1C" w:rsidRDefault="00F73F1C" w:rsidP="00CB4657">
      <w:pPr>
        <w:spacing w:after="0" w:line="240" w:lineRule="auto"/>
        <w:jc w:val="center"/>
        <w:rPr>
          <w:rFonts w:ascii="Times New Roman" w:eastAsia="Times New Roman" w:hAnsi="Times New Roman" w:cs="Times New Roman"/>
          <w:bCs/>
          <w:caps/>
          <w:sz w:val="24"/>
          <w:szCs w:val="24"/>
        </w:rPr>
      </w:pPr>
    </w:p>
    <w:bookmarkStart w:id="2" w:name="_Hlk103171503" w:displacedByCustomXml="next"/>
    <w:sdt>
      <w:sdtPr>
        <w:rPr>
          <w:rFonts w:asciiTheme="minorHAnsi" w:eastAsiaTheme="minorHAnsi" w:hAnsiTheme="minorHAnsi" w:cstheme="minorBidi"/>
          <w:color w:val="auto"/>
          <w:sz w:val="22"/>
          <w:szCs w:val="22"/>
        </w:rPr>
        <w:id w:val="2125959671"/>
        <w:docPartObj>
          <w:docPartGallery w:val="Table of Contents"/>
          <w:docPartUnique/>
        </w:docPartObj>
      </w:sdtPr>
      <w:sdtEndPr>
        <w:rPr>
          <w:b/>
          <w:bCs/>
          <w:noProof/>
        </w:rPr>
      </w:sdtEndPr>
      <w:sdtContent>
        <w:p w14:paraId="08446423" w14:textId="21E07452" w:rsidR="0066424D" w:rsidRPr="00314E4F" w:rsidRDefault="0066424D" w:rsidP="0066424D">
          <w:pPr>
            <w:pStyle w:val="TOCHeading"/>
            <w:spacing w:before="0" w:line="360" w:lineRule="auto"/>
            <w:rPr>
              <w:rFonts w:ascii="Times New Roman" w:hAnsi="Times New Roman" w:cs="Times New Roman"/>
              <w:color w:val="auto"/>
            </w:rPr>
          </w:pPr>
          <w:r w:rsidRPr="00314E4F">
            <w:rPr>
              <w:rFonts w:ascii="Times New Roman" w:hAnsi="Times New Roman" w:cs="Times New Roman"/>
              <w:color w:val="auto"/>
            </w:rPr>
            <w:t>Table of Contents</w:t>
          </w:r>
        </w:p>
        <w:p w14:paraId="394E7D01" w14:textId="02F9A6F5" w:rsidR="0066424D" w:rsidRPr="0066424D" w:rsidRDefault="0066424D" w:rsidP="0066424D">
          <w:pPr>
            <w:pStyle w:val="TOC1"/>
            <w:tabs>
              <w:tab w:val="right" w:leader="dot" w:pos="9350"/>
            </w:tabs>
            <w:spacing w:before="0" w:line="360" w:lineRule="auto"/>
            <w:rPr>
              <w:rFonts w:ascii="Times New Roman" w:eastAsiaTheme="minorEastAsia" w:hAnsi="Times New Roman" w:cs="Times New Roman"/>
              <w:b w:val="0"/>
              <w:bCs w:val="0"/>
              <w:caps w:val="0"/>
              <w:noProof/>
            </w:rPr>
          </w:pPr>
          <w:r w:rsidRPr="0066424D">
            <w:rPr>
              <w:rFonts w:ascii="Times New Roman" w:hAnsi="Times New Roman" w:cs="Times New Roman"/>
              <w:b w:val="0"/>
              <w:bCs w:val="0"/>
            </w:rPr>
            <w:fldChar w:fldCharType="begin"/>
          </w:r>
          <w:r w:rsidRPr="0066424D">
            <w:rPr>
              <w:rFonts w:ascii="Times New Roman" w:hAnsi="Times New Roman" w:cs="Times New Roman"/>
              <w:b w:val="0"/>
              <w:bCs w:val="0"/>
            </w:rPr>
            <w:instrText xml:space="preserve"> TOC \o "1-3" \h \z \u </w:instrText>
          </w:r>
          <w:r w:rsidRPr="0066424D">
            <w:rPr>
              <w:rFonts w:ascii="Times New Roman" w:hAnsi="Times New Roman" w:cs="Times New Roman"/>
              <w:b w:val="0"/>
              <w:bCs w:val="0"/>
            </w:rPr>
            <w:fldChar w:fldCharType="separate"/>
          </w:r>
          <w:hyperlink w:anchor="_Toc103169707" w:history="1">
            <w:r w:rsidRPr="0066424D">
              <w:rPr>
                <w:rStyle w:val="Hyperlink"/>
                <w:rFonts w:ascii="Times New Roman" w:hAnsi="Times New Roman" w:cs="Times New Roman"/>
                <w:b w:val="0"/>
                <w:bCs w:val="0"/>
                <w:noProof/>
              </w:rPr>
              <w:t>GLOSSARY OF ACRONYMS AND DEFINED TERMS</w:t>
            </w:r>
            <w:r w:rsidRPr="0066424D">
              <w:rPr>
                <w:rFonts w:ascii="Times New Roman" w:hAnsi="Times New Roman" w:cs="Times New Roman"/>
                <w:b w:val="0"/>
                <w:bCs w:val="0"/>
                <w:noProof/>
                <w:webHidden/>
              </w:rPr>
              <w:tab/>
            </w:r>
            <w:r w:rsidRPr="0066424D">
              <w:rPr>
                <w:rFonts w:ascii="Times New Roman" w:hAnsi="Times New Roman" w:cs="Times New Roman"/>
                <w:b w:val="0"/>
                <w:bCs w:val="0"/>
                <w:noProof/>
                <w:webHidden/>
              </w:rPr>
              <w:fldChar w:fldCharType="begin"/>
            </w:r>
            <w:r w:rsidRPr="0066424D">
              <w:rPr>
                <w:rFonts w:ascii="Times New Roman" w:hAnsi="Times New Roman" w:cs="Times New Roman"/>
                <w:b w:val="0"/>
                <w:bCs w:val="0"/>
                <w:noProof/>
                <w:webHidden/>
              </w:rPr>
              <w:instrText xml:space="preserve"> PAGEREF _Toc103169707 \h </w:instrText>
            </w:r>
            <w:r w:rsidRPr="0066424D">
              <w:rPr>
                <w:rFonts w:ascii="Times New Roman" w:hAnsi="Times New Roman" w:cs="Times New Roman"/>
                <w:b w:val="0"/>
                <w:bCs w:val="0"/>
                <w:noProof/>
                <w:webHidden/>
              </w:rPr>
            </w:r>
            <w:r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3</w:t>
            </w:r>
            <w:r w:rsidRPr="0066424D">
              <w:rPr>
                <w:rFonts w:ascii="Times New Roman" w:hAnsi="Times New Roman" w:cs="Times New Roman"/>
                <w:b w:val="0"/>
                <w:bCs w:val="0"/>
                <w:noProof/>
                <w:webHidden/>
              </w:rPr>
              <w:fldChar w:fldCharType="end"/>
            </w:r>
          </w:hyperlink>
        </w:p>
        <w:p w14:paraId="131E678F" w14:textId="52A4E9BE" w:rsidR="0066424D" w:rsidRPr="0066424D" w:rsidRDefault="00D85125" w:rsidP="008A53C4">
          <w:pPr>
            <w:pStyle w:val="TOC1"/>
            <w:tabs>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08" w:history="1">
            <w:r w:rsidR="0066424D" w:rsidRPr="0066424D">
              <w:rPr>
                <w:rStyle w:val="Hyperlink"/>
                <w:rFonts w:ascii="Times New Roman" w:hAnsi="Times New Roman" w:cs="Times New Roman"/>
                <w:b w:val="0"/>
                <w:bCs w:val="0"/>
                <w:noProof/>
              </w:rPr>
              <w:t>I.</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Introduction</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_Toc103169708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4</w:t>
            </w:r>
            <w:r w:rsidR="0066424D" w:rsidRPr="0066424D">
              <w:rPr>
                <w:rFonts w:ascii="Times New Roman" w:hAnsi="Times New Roman" w:cs="Times New Roman"/>
                <w:b w:val="0"/>
                <w:bCs w:val="0"/>
                <w:noProof/>
                <w:webHidden/>
              </w:rPr>
              <w:fldChar w:fldCharType="end"/>
            </w:r>
          </w:hyperlink>
        </w:p>
        <w:p w14:paraId="10778469" w14:textId="1871CD37" w:rsidR="0066424D" w:rsidRPr="0066424D" w:rsidRDefault="00D85125" w:rsidP="008A53C4">
          <w:pPr>
            <w:pStyle w:val="TOC1"/>
            <w:tabs>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09" w:history="1">
            <w:r w:rsidR="0066424D" w:rsidRPr="0066424D">
              <w:rPr>
                <w:rStyle w:val="Hyperlink"/>
                <w:rFonts w:ascii="Times New Roman" w:hAnsi="Times New Roman" w:cs="Times New Roman"/>
                <w:b w:val="0"/>
                <w:bCs w:val="0"/>
                <w:noProof/>
              </w:rPr>
              <w:t>II.</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SUFFICIENCY OF APPLICATION AND NOTICE (P.O. Issue NoS.</w:t>
            </w:r>
            <w:r w:rsidR="0066424D" w:rsidRPr="0066424D">
              <w:rPr>
                <w:rStyle w:val="Hyperlink"/>
                <w:rFonts w:ascii="Times New Roman" w:hAnsi="Times New Roman" w:cs="Times New Roman"/>
                <w:b w:val="0"/>
                <w:bCs w:val="0"/>
                <w:noProof/>
                <w:spacing w:val="-14"/>
              </w:rPr>
              <w:t xml:space="preserve"> </w:t>
            </w:r>
            <w:r w:rsidR="0066424D" w:rsidRPr="0066424D">
              <w:rPr>
                <w:rStyle w:val="Hyperlink"/>
                <w:rFonts w:ascii="Times New Roman" w:hAnsi="Times New Roman" w:cs="Times New Roman"/>
                <w:b w:val="0"/>
                <w:bCs w:val="0"/>
                <w:noProof/>
              </w:rPr>
              <w:t>1, 6, 7, 8)</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_Toc103169709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4</w:t>
            </w:r>
            <w:r w:rsidR="0066424D" w:rsidRPr="0066424D">
              <w:rPr>
                <w:rFonts w:ascii="Times New Roman" w:hAnsi="Times New Roman" w:cs="Times New Roman"/>
                <w:b w:val="0"/>
                <w:bCs w:val="0"/>
                <w:noProof/>
                <w:webHidden/>
              </w:rPr>
              <w:fldChar w:fldCharType="end"/>
            </w:r>
          </w:hyperlink>
        </w:p>
        <w:p w14:paraId="541F711B" w14:textId="37D0C98E" w:rsidR="0066424D" w:rsidRPr="0066424D" w:rsidRDefault="00D85125" w:rsidP="008A53C4">
          <w:pPr>
            <w:pStyle w:val="TOC1"/>
            <w:tabs>
              <w:tab w:val="left" w:pos="720"/>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10" w:history="1">
            <w:r w:rsidR="0066424D" w:rsidRPr="0066424D">
              <w:rPr>
                <w:rStyle w:val="Hyperlink"/>
                <w:rFonts w:ascii="Times New Roman" w:hAnsi="Times New Roman" w:cs="Times New Roman"/>
                <w:b w:val="0"/>
                <w:bCs w:val="0"/>
                <w:noProof/>
              </w:rPr>
              <w:t>III.</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Effect of Approval UNDER PURA 37.056(C) (P.O. Issue Nos. 3, 4, 5, 9, 10, 11, 12, 13, 14, 15, 16, 17, 18, 19, 20, 21, 22)</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_Toc103169710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5</w:t>
            </w:r>
            <w:r w:rsidR="0066424D" w:rsidRPr="0066424D">
              <w:rPr>
                <w:rFonts w:ascii="Times New Roman" w:hAnsi="Times New Roman" w:cs="Times New Roman"/>
                <w:b w:val="0"/>
                <w:bCs w:val="0"/>
                <w:noProof/>
                <w:webHidden/>
              </w:rPr>
              <w:fldChar w:fldCharType="end"/>
            </w:r>
          </w:hyperlink>
        </w:p>
        <w:p w14:paraId="55430527" w14:textId="72F8D515" w:rsidR="0066424D" w:rsidRPr="008A53C4" w:rsidRDefault="0066424D" w:rsidP="008A53C4">
          <w:pPr>
            <w:pStyle w:val="TOC1"/>
            <w:tabs>
              <w:tab w:val="right" w:leader="dot" w:pos="9350"/>
            </w:tabs>
            <w:spacing w:before="0" w:line="360" w:lineRule="auto"/>
            <w:ind w:left="720" w:hanging="720"/>
            <w:rPr>
              <w:rFonts w:ascii="Times New Roman" w:eastAsiaTheme="minorEastAsia" w:hAnsi="Times New Roman" w:cs="Times New Roman"/>
              <w:b w:val="0"/>
              <w:bCs w:val="0"/>
              <w:caps w:val="0"/>
              <w:noProof/>
            </w:rPr>
          </w:pPr>
          <w:r w:rsidRPr="008A53C4">
            <w:rPr>
              <w:rStyle w:val="Hyperlink"/>
              <w:rFonts w:ascii="Times New Roman" w:hAnsi="Times New Roman" w:cs="Times New Roman"/>
              <w:b w:val="0"/>
              <w:bCs w:val="0"/>
              <w:noProof/>
              <w:color w:val="auto"/>
              <w:u w:val="none"/>
            </w:rPr>
            <w:tab/>
            <w:t xml:space="preserve">A. </w:t>
          </w:r>
          <w:hyperlink w:anchor="_Toc103169711" w:history="1">
            <w:r w:rsidRPr="008A53C4">
              <w:rPr>
                <w:rStyle w:val="Hyperlink"/>
                <w:rFonts w:ascii="Times New Roman" w:hAnsi="Times New Roman" w:cs="Times New Roman"/>
                <w:b w:val="0"/>
                <w:bCs w:val="0"/>
                <w:noProof/>
                <w:color w:val="auto"/>
                <w:u w:val="none"/>
                <w:lang w:bidi="en-US"/>
              </w:rPr>
              <w:t xml:space="preserve"> Project Description and Costs</w:t>
            </w:r>
            <w:r w:rsidRPr="008A53C4">
              <w:rPr>
                <w:rFonts w:ascii="Times New Roman" w:hAnsi="Times New Roman" w:cs="Times New Roman"/>
                <w:b w:val="0"/>
                <w:bCs w:val="0"/>
                <w:noProof/>
                <w:webHidden/>
              </w:rPr>
              <w:tab/>
            </w:r>
            <w:r w:rsidRPr="008A53C4">
              <w:rPr>
                <w:rFonts w:ascii="Times New Roman" w:hAnsi="Times New Roman" w:cs="Times New Roman"/>
                <w:b w:val="0"/>
                <w:bCs w:val="0"/>
                <w:noProof/>
                <w:webHidden/>
              </w:rPr>
              <w:fldChar w:fldCharType="begin"/>
            </w:r>
            <w:r w:rsidRPr="008A53C4">
              <w:rPr>
                <w:rFonts w:ascii="Times New Roman" w:hAnsi="Times New Roman" w:cs="Times New Roman"/>
                <w:b w:val="0"/>
                <w:bCs w:val="0"/>
                <w:noProof/>
                <w:webHidden/>
              </w:rPr>
              <w:instrText xml:space="preserve"> PAGEREF _Toc103169711 \h </w:instrText>
            </w:r>
            <w:r w:rsidRPr="008A53C4">
              <w:rPr>
                <w:rFonts w:ascii="Times New Roman" w:hAnsi="Times New Roman" w:cs="Times New Roman"/>
                <w:b w:val="0"/>
                <w:bCs w:val="0"/>
                <w:noProof/>
                <w:webHidden/>
              </w:rPr>
            </w:r>
            <w:r w:rsidRPr="008A53C4">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5</w:t>
            </w:r>
            <w:r w:rsidRPr="008A53C4">
              <w:rPr>
                <w:rFonts w:ascii="Times New Roman" w:hAnsi="Times New Roman" w:cs="Times New Roman"/>
                <w:b w:val="0"/>
                <w:bCs w:val="0"/>
                <w:noProof/>
                <w:webHidden/>
              </w:rPr>
              <w:fldChar w:fldCharType="end"/>
            </w:r>
          </w:hyperlink>
        </w:p>
        <w:p w14:paraId="6253CA34" w14:textId="37CA11ED"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13" w:history="1">
            <w:r w:rsidR="0066424D" w:rsidRPr="0066424D">
              <w:rPr>
                <w:rStyle w:val="Hyperlink"/>
                <w:rFonts w:ascii="Times New Roman" w:hAnsi="Times New Roman" w:cs="Times New Roman"/>
                <w:b w:val="0"/>
                <w:bCs w:val="0"/>
                <w:noProof/>
                <w:lang w:bidi="en-US"/>
              </w:rPr>
              <w:t>B.</w:t>
            </w:r>
            <w:r w:rsidR="0066424D">
              <w:rPr>
                <w:rStyle w:val="Hyperlink"/>
                <w:rFonts w:ascii="Times New Roman" w:hAnsi="Times New Roman" w:cs="Times New Roman"/>
                <w:b w:val="0"/>
                <w:bCs w:val="0"/>
                <w:noProof/>
                <w:lang w:bidi="en-US"/>
              </w:rPr>
              <w:t xml:space="preserve">  </w:t>
            </w:r>
            <w:r w:rsidR="0066424D" w:rsidRPr="0066424D">
              <w:rPr>
                <w:rStyle w:val="Hyperlink"/>
                <w:rFonts w:ascii="Times New Roman" w:hAnsi="Times New Roman" w:cs="Times New Roman"/>
                <w:b w:val="0"/>
                <w:bCs w:val="0"/>
                <w:noProof/>
                <w:lang w:bidi="en-US"/>
              </w:rPr>
              <w:t>CCN Standard of Review</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_Toc103169713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5</w:t>
            </w:r>
            <w:r w:rsidR="0066424D" w:rsidRPr="0066424D">
              <w:rPr>
                <w:rFonts w:ascii="Times New Roman" w:hAnsi="Times New Roman" w:cs="Times New Roman"/>
                <w:b w:val="0"/>
                <w:bCs w:val="0"/>
                <w:noProof/>
                <w:webHidden/>
              </w:rPr>
              <w:fldChar w:fldCharType="end"/>
            </w:r>
          </w:hyperlink>
        </w:p>
        <w:p w14:paraId="43810AED" w14:textId="514CB2D2"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14" w:history="1">
            <w:r w:rsidR="0066424D" w:rsidRPr="0066424D">
              <w:rPr>
                <w:rStyle w:val="Hyperlink"/>
                <w:rFonts w:ascii="Times New Roman" w:hAnsi="Times New Roman" w:cs="Times New Roman"/>
                <w:b w:val="0"/>
                <w:bCs w:val="0"/>
                <w:noProof/>
                <w:lang w:bidi="en-US"/>
              </w:rPr>
              <w:t>C.</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SPS’s Position</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_Toc103169714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6</w:t>
            </w:r>
            <w:r w:rsidR="0066424D" w:rsidRPr="0066424D">
              <w:rPr>
                <w:rFonts w:ascii="Times New Roman" w:hAnsi="Times New Roman" w:cs="Times New Roman"/>
                <w:b w:val="0"/>
                <w:bCs w:val="0"/>
                <w:noProof/>
                <w:webHidden/>
              </w:rPr>
              <w:fldChar w:fldCharType="end"/>
            </w:r>
          </w:hyperlink>
        </w:p>
        <w:p w14:paraId="64070E93" w14:textId="5204A3A2"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16" w:history="1">
            <w:r w:rsidR="0066424D" w:rsidRPr="0066424D">
              <w:rPr>
                <w:rStyle w:val="Hyperlink"/>
                <w:rFonts w:ascii="Times New Roman" w:hAnsi="Times New Roman" w:cs="Times New Roman"/>
                <w:b w:val="0"/>
                <w:bCs w:val="0"/>
                <w:noProof/>
                <w:lang w:bidi="en-US"/>
              </w:rPr>
              <w:t>D.</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Alliance of Xcel Municipalities’ (AXM) Position</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_Toc103169716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6</w:t>
            </w:r>
            <w:r w:rsidR="0066424D" w:rsidRPr="0066424D">
              <w:rPr>
                <w:rFonts w:ascii="Times New Roman" w:hAnsi="Times New Roman" w:cs="Times New Roman"/>
                <w:b w:val="0"/>
                <w:bCs w:val="0"/>
                <w:noProof/>
                <w:webHidden/>
              </w:rPr>
              <w:fldChar w:fldCharType="end"/>
            </w:r>
          </w:hyperlink>
        </w:p>
        <w:p w14:paraId="566F2707" w14:textId="695C131A"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18" w:history="1">
            <w:r w:rsidR="0066424D" w:rsidRPr="0066424D">
              <w:rPr>
                <w:rStyle w:val="Hyperlink"/>
                <w:rFonts w:ascii="Times New Roman" w:hAnsi="Times New Roman" w:cs="Times New Roman"/>
                <w:b w:val="0"/>
                <w:bCs w:val="0"/>
                <w:noProof/>
                <w:lang w:bidi="en-US"/>
              </w:rPr>
              <w:t>E.</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EVALUATION OF THE EVIDENCE</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_Toc103169718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7</w:t>
            </w:r>
            <w:r w:rsidR="0066424D" w:rsidRPr="0066424D">
              <w:rPr>
                <w:rFonts w:ascii="Times New Roman" w:hAnsi="Times New Roman" w:cs="Times New Roman"/>
                <w:b w:val="0"/>
                <w:bCs w:val="0"/>
                <w:noProof/>
                <w:webHidden/>
              </w:rPr>
              <w:fldChar w:fldCharType="end"/>
            </w:r>
          </w:hyperlink>
        </w:p>
        <w:p w14:paraId="08988908" w14:textId="4D65E9DB" w:rsidR="0066424D" w:rsidRPr="0066424D" w:rsidRDefault="00D85125" w:rsidP="008A53C4">
          <w:pPr>
            <w:pStyle w:val="TOC1"/>
            <w:tabs>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20" w:history="1">
            <w:r w:rsidR="0066424D" w:rsidRPr="0066424D">
              <w:rPr>
                <w:rStyle w:val="Hyperlink"/>
                <w:rFonts w:ascii="Times New Roman" w:hAnsi="Times New Roman" w:cs="Times New Roman"/>
                <w:b w:val="0"/>
                <w:bCs w:val="0"/>
                <w:noProof/>
              </w:rPr>
              <w:t>IV.</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CONDITIONS FOR APPROVAL (P.O. Issue No. 41)</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_Toc103169720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7</w:t>
            </w:r>
            <w:r w:rsidR="0066424D" w:rsidRPr="0066424D">
              <w:rPr>
                <w:rFonts w:ascii="Times New Roman" w:hAnsi="Times New Roman" w:cs="Times New Roman"/>
                <w:b w:val="0"/>
                <w:bCs w:val="0"/>
                <w:noProof/>
                <w:webHidden/>
              </w:rPr>
              <w:fldChar w:fldCharType="end"/>
            </w:r>
          </w:hyperlink>
        </w:p>
        <w:p w14:paraId="5ECDAD54" w14:textId="1988DCF7"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21" w:history="1">
            <w:r w:rsidR="0066424D" w:rsidRPr="0066424D">
              <w:rPr>
                <w:rStyle w:val="Hyperlink"/>
                <w:rFonts w:ascii="Times New Roman" w:hAnsi="Times New Roman" w:cs="Times New Roman"/>
                <w:b w:val="0"/>
                <w:bCs w:val="0"/>
                <w:noProof/>
                <w:lang w:bidi="en-US"/>
              </w:rPr>
              <w:t>A.</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Cost Cap</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_Toc103169721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7</w:t>
            </w:r>
            <w:r w:rsidR="0066424D" w:rsidRPr="0066424D">
              <w:rPr>
                <w:rFonts w:ascii="Times New Roman" w:hAnsi="Times New Roman" w:cs="Times New Roman"/>
                <w:b w:val="0"/>
                <w:bCs w:val="0"/>
                <w:noProof/>
                <w:webHidden/>
              </w:rPr>
              <w:fldChar w:fldCharType="end"/>
            </w:r>
          </w:hyperlink>
        </w:p>
        <w:p w14:paraId="112E9B4A" w14:textId="18F55101"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27" w:history="1">
            <w:r w:rsidR="0066424D" w:rsidRPr="0066424D">
              <w:rPr>
                <w:rStyle w:val="Hyperlink"/>
                <w:rFonts w:ascii="Times New Roman" w:hAnsi="Times New Roman" w:cs="Times New Roman"/>
                <w:b w:val="0"/>
                <w:bCs w:val="0"/>
                <w:noProof/>
                <w:lang w:bidi="en-US"/>
              </w:rPr>
              <w:t>B.</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New Mexico IRP</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_Toc103169727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9</w:t>
            </w:r>
            <w:r w:rsidR="0066424D" w:rsidRPr="0066424D">
              <w:rPr>
                <w:rFonts w:ascii="Times New Roman" w:hAnsi="Times New Roman" w:cs="Times New Roman"/>
                <w:b w:val="0"/>
                <w:bCs w:val="0"/>
                <w:noProof/>
                <w:webHidden/>
              </w:rPr>
              <w:fldChar w:fldCharType="end"/>
            </w:r>
          </w:hyperlink>
        </w:p>
        <w:p w14:paraId="440820B4" w14:textId="7EC7719F"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28" w:history="1">
            <w:r w:rsidR="0066424D" w:rsidRPr="0066424D">
              <w:rPr>
                <w:rStyle w:val="Hyperlink"/>
                <w:rFonts w:ascii="Times New Roman" w:hAnsi="Times New Roman" w:cs="Times New Roman"/>
                <w:b w:val="0"/>
                <w:bCs w:val="0"/>
                <w:noProof/>
                <w:lang w:bidi="en-US"/>
              </w:rPr>
              <w:t>C.</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Depreciation Rates</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_Toc103169728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9</w:t>
            </w:r>
            <w:r w:rsidR="0066424D" w:rsidRPr="0066424D">
              <w:rPr>
                <w:rFonts w:ascii="Times New Roman" w:hAnsi="Times New Roman" w:cs="Times New Roman"/>
                <w:b w:val="0"/>
                <w:bCs w:val="0"/>
                <w:noProof/>
                <w:webHidden/>
              </w:rPr>
              <w:fldChar w:fldCharType="end"/>
            </w:r>
          </w:hyperlink>
        </w:p>
        <w:p w14:paraId="06DB636C" w14:textId="08A1019F" w:rsidR="0066424D" w:rsidRPr="0066424D" w:rsidRDefault="00D85125" w:rsidP="00631F39">
          <w:pPr>
            <w:pStyle w:val="TOC1"/>
            <w:tabs>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29" w:history="1">
            <w:r w:rsidR="0066424D" w:rsidRPr="0066424D">
              <w:rPr>
                <w:rStyle w:val="Hyperlink"/>
                <w:rFonts w:ascii="Times New Roman" w:hAnsi="Times New Roman" w:cs="Times New Roman"/>
                <w:b w:val="0"/>
                <w:bCs w:val="0"/>
                <w:noProof/>
              </w:rPr>
              <w:t>V.</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PIPELINE ROUTE (P.O. Issue NoS. 2, 23, 24, 25, 26, 27, 28, 29)</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_Toc103169729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10</w:t>
            </w:r>
            <w:r w:rsidR="0066424D" w:rsidRPr="0066424D">
              <w:rPr>
                <w:rFonts w:ascii="Times New Roman" w:hAnsi="Times New Roman" w:cs="Times New Roman"/>
                <w:b w:val="0"/>
                <w:bCs w:val="0"/>
                <w:noProof/>
                <w:webHidden/>
              </w:rPr>
              <w:fldChar w:fldCharType="end"/>
            </w:r>
          </w:hyperlink>
        </w:p>
        <w:p w14:paraId="2981EB65" w14:textId="43F98773" w:rsidR="0066424D" w:rsidRPr="0066424D" w:rsidRDefault="00D85125" w:rsidP="008A53C4">
          <w:pPr>
            <w:pStyle w:val="TOC1"/>
            <w:tabs>
              <w:tab w:val="right" w:leader="dot" w:pos="9350"/>
            </w:tabs>
            <w:spacing w:before="0" w:line="360" w:lineRule="auto"/>
            <w:ind w:left="720"/>
            <w:rPr>
              <w:rFonts w:ascii="Times New Roman" w:eastAsiaTheme="minorEastAsia" w:hAnsi="Times New Roman" w:cs="Times New Roman"/>
              <w:b w:val="0"/>
              <w:bCs w:val="0"/>
              <w:caps w:val="0"/>
              <w:noProof/>
            </w:rPr>
          </w:pPr>
          <w:hyperlink w:anchor="_Toc103169730" w:history="1">
            <w:r w:rsidR="0066424D" w:rsidRPr="0066424D">
              <w:rPr>
                <w:rStyle w:val="Hyperlink"/>
                <w:rFonts w:ascii="Times New Roman" w:hAnsi="Times New Roman" w:cs="Times New Roman"/>
                <w:b w:val="0"/>
                <w:bCs w:val="0"/>
                <w:noProof/>
                <w:lang w:bidi="en-US"/>
              </w:rPr>
              <w:t>A.</w:t>
            </w:r>
            <w:r w:rsidR="0066424D">
              <w:rPr>
                <w:rFonts w:ascii="Times New Roman" w:eastAsiaTheme="minorEastAsia" w:hAnsi="Times New Roman" w:cs="Times New Roman"/>
                <w:b w:val="0"/>
                <w:bCs w:val="0"/>
                <w:caps w:val="0"/>
                <w:noProof/>
              </w:rPr>
              <w:t xml:space="preserve">  </w:t>
            </w:r>
            <w:r w:rsidR="0066424D" w:rsidRPr="0066424D">
              <w:rPr>
                <w:rStyle w:val="Hyperlink"/>
                <w:rFonts w:ascii="Times New Roman" w:hAnsi="Times New Roman" w:cs="Times New Roman"/>
                <w:b w:val="0"/>
                <w:bCs w:val="0"/>
                <w:noProof/>
                <w:lang w:bidi="en-US"/>
              </w:rPr>
              <w:t>Adequacy of Possible Routes</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_Toc103169730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10</w:t>
            </w:r>
            <w:r w:rsidR="0066424D" w:rsidRPr="0066424D">
              <w:rPr>
                <w:rFonts w:ascii="Times New Roman" w:hAnsi="Times New Roman" w:cs="Times New Roman"/>
                <w:b w:val="0"/>
                <w:bCs w:val="0"/>
                <w:noProof/>
                <w:webHidden/>
              </w:rPr>
              <w:fldChar w:fldCharType="end"/>
            </w:r>
          </w:hyperlink>
        </w:p>
        <w:p w14:paraId="78304E44" w14:textId="3A679A5C" w:rsidR="0066424D" w:rsidRPr="0066424D" w:rsidRDefault="00D85125" w:rsidP="008A53C4">
          <w:pPr>
            <w:pStyle w:val="TOC1"/>
            <w:tabs>
              <w:tab w:val="left" w:pos="720"/>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31" w:history="1">
            <w:r w:rsidR="0066424D" w:rsidRPr="0066424D">
              <w:rPr>
                <w:rStyle w:val="Hyperlink"/>
                <w:rFonts w:ascii="Times New Roman" w:hAnsi="Times New Roman" w:cs="Times New Roman"/>
                <w:b w:val="0"/>
                <w:bCs w:val="0"/>
                <w:noProof/>
                <w:lang w:bidi="en-US"/>
              </w:rPr>
              <w:t>VI.</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lang w:bidi="en-US"/>
              </w:rPr>
              <w:t>RELIABILITY (P.O. Issue Nos. 31, 32)</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_Toc103169731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12</w:t>
            </w:r>
            <w:r w:rsidR="0066424D" w:rsidRPr="0066424D">
              <w:rPr>
                <w:rFonts w:ascii="Times New Roman" w:hAnsi="Times New Roman" w:cs="Times New Roman"/>
                <w:b w:val="0"/>
                <w:bCs w:val="0"/>
                <w:noProof/>
                <w:webHidden/>
              </w:rPr>
              <w:fldChar w:fldCharType="end"/>
            </w:r>
          </w:hyperlink>
        </w:p>
        <w:p w14:paraId="703778F7" w14:textId="240333E8" w:rsidR="0066424D" w:rsidRPr="0066424D" w:rsidRDefault="00D85125" w:rsidP="008A53C4">
          <w:pPr>
            <w:pStyle w:val="TOC1"/>
            <w:tabs>
              <w:tab w:val="left" w:pos="720"/>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32" w:history="1">
            <w:r w:rsidR="0066424D" w:rsidRPr="0066424D">
              <w:rPr>
                <w:rStyle w:val="Hyperlink"/>
                <w:rFonts w:ascii="Times New Roman" w:hAnsi="Times New Roman" w:cs="Times New Roman"/>
                <w:b w:val="0"/>
                <w:bCs w:val="0"/>
                <w:noProof/>
              </w:rPr>
              <w:t>VII.</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Texas Parks and wildlife (P.O. Issue No. 33)</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_Toc103169732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12</w:t>
            </w:r>
            <w:r w:rsidR="0066424D" w:rsidRPr="0066424D">
              <w:rPr>
                <w:rFonts w:ascii="Times New Roman" w:hAnsi="Times New Roman" w:cs="Times New Roman"/>
                <w:b w:val="0"/>
                <w:bCs w:val="0"/>
                <w:noProof/>
                <w:webHidden/>
              </w:rPr>
              <w:fldChar w:fldCharType="end"/>
            </w:r>
          </w:hyperlink>
        </w:p>
        <w:p w14:paraId="1B289C16" w14:textId="373F0A05" w:rsidR="0066424D" w:rsidRPr="0066424D" w:rsidRDefault="00D85125" w:rsidP="008A53C4">
          <w:pPr>
            <w:pStyle w:val="TOC1"/>
            <w:tabs>
              <w:tab w:val="left" w:pos="960"/>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33" w:history="1">
            <w:r w:rsidR="0066424D" w:rsidRPr="0066424D">
              <w:rPr>
                <w:rStyle w:val="Hyperlink"/>
                <w:rFonts w:ascii="Times New Roman" w:hAnsi="Times New Roman" w:cs="Times New Roman"/>
                <w:b w:val="0"/>
                <w:bCs w:val="0"/>
                <w:noProof/>
              </w:rPr>
              <w:t>VIII.</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Other REgulatory Approvals (P.O. Issue NOS. 34, 35, 36, 37, 38)</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_Toc103169733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14</w:t>
            </w:r>
            <w:r w:rsidR="0066424D" w:rsidRPr="0066424D">
              <w:rPr>
                <w:rFonts w:ascii="Times New Roman" w:hAnsi="Times New Roman" w:cs="Times New Roman"/>
                <w:b w:val="0"/>
                <w:bCs w:val="0"/>
                <w:noProof/>
                <w:webHidden/>
              </w:rPr>
              <w:fldChar w:fldCharType="end"/>
            </w:r>
          </w:hyperlink>
        </w:p>
        <w:p w14:paraId="7FF8B14F" w14:textId="53FE1597" w:rsidR="0066424D" w:rsidRPr="0066424D" w:rsidRDefault="00D85125" w:rsidP="008A53C4">
          <w:pPr>
            <w:pStyle w:val="TOC1"/>
            <w:tabs>
              <w:tab w:val="left" w:pos="720"/>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34" w:history="1">
            <w:r w:rsidR="0066424D" w:rsidRPr="0066424D">
              <w:rPr>
                <w:rStyle w:val="Hyperlink"/>
                <w:rFonts w:ascii="Times New Roman" w:hAnsi="Times New Roman" w:cs="Times New Roman"/>
                <w:b w:val="0"/>
                <w:bCs w:val="0"/>
                <w:noProof/>
              </w:rPr>
              <w:t>IX.</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PERMITS (P.O. Issue NO. 39)</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_Toc103169734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15</w:t>
            </w:r>
            <w:r w:rsidR="0066424D" w:rsidRPr="0066424D">
              <w:rPr>
                <w:rFonts w:ascii="Times New Roman" w:hAnsi="Times New Roman" w:cs="Times New Roman"/>
                <w:b w:val="0"/>
                <w:bCs w:val="0"/>
                <w:noProof/>
                <w:webHidden/>
              </w:rPr>
              <w:fldChar w:fldCharType="end"/>
            </w:r>
          </w:hyperlink>
        </w:p>
        <w:p w14:paraId="459FA050" w14:textId="71428983" w:rsidR="0066424D" w:rsidRPr="0066424D" w:rsidRDefault="00D85125" w:rsidP="008A53C4">
          <w:pPr>
            <w:pStyle w:val="TOC1"/>
            <w:tabs>
              <w:tab w:val="right" w:leader="dot" w:pos="9350"/>
            </w:tabs>
            <w:spacing w:before="0" w:line="360" w:lineRule="auto"/>
            <w:ind w:left="720" w:hanging="720"/>
            <w:rPr>
              <w:rFonts w:ascii="Times New Roman" w:eastAsiaTheme="minorEastAsia" w:hAnsi="Times New Roman" w:cs="Times New Roman"/>
              <w:b w:val="0"/>
              <w:bCs w:val="0"/>
              <w:caps w:val="0"/>
              <w:noProof/>
            </w:rPr>
          </w:pPr>
          <w:hyperlink w:anchor="_Toc103169753" w:history="1">
            <w:r w:rsidR="0066424D" w:rsidRPr="0066424D">
              <w:rPr>
                <w:rStyle w:val="Hyperlink"/>
                <w:rFonts w:ascii="Times New Roman" w:hAnsi="Times New Roman" w:cs="Times New Roman"/>
                <w:b w:val="0"/>
                <w:bCs w:val="0"/>
                <w:noProof/>
              </w:rPr>
              <w:t>X.</w:t>
            </w:r>
            <w:r w:rsidR="0066424D" w:rsidRPr="0066424D">
              <w:rPr>
                <w:rFonts w:ascii="Times New Roman" w:eastAsiaTheme="minorEastAsia" w:hAnsi="Times New Roman" w:cs="Times New Roman"/>
                <w:b w:val="0"/>
                <w:bCs w:val="0"/>
                <w:caps w:val="0"/>
                <w:noProof/>
              </w:rPr>
              <w:tab/>
            </w:r>
            <w:r w:rsidR="0066424D" w:rsidRPr="0066424D">
              <w:rPr>
                <w:rStyle w:val="Hyperlink"/>
                <w:rFonts w:ascii="Times New Roman" w:hAnsi="Times New Roman" w:cs="Times New Roman"/>
                <w:b w:val="0"/>
                <w:bCs w:val="0"/>
                <w:noProof/>
              </w:rPr>
              <w:t>CONCLUSION</w:t>
            </w:r>
            <w:r w:rsidR="0066424D" w:rsidRPr="0066424D">
              <w:rPr>
                <w:rFonts w:ascii="Times New Roman" w:hAnsi="Times New Roman" w:cs="Times New Roman"/>
                <w:b w:val="0"/>
                <w:bCs w:val="0"/>
                <w:noProof/>
                <w:webHidden/>
              </w:rPr>
              <w:tab/>
            </w:r>
            <w:r w:rsidR="0066424D" w:rsidRPr="0066424D">
              <w:rPr>
                <w:rFonts w:ascii="Times New Roman" w:hAnsi="Times New Roman" w:cs="Times New Roman"/>
                <w:b w:val="0"/>
                <w:bCs w:val="0"/>
                <w:noProof/>
                <w:webHidden/>
              </w:rPr>
              <w:fldChar w:fldCharType="begin"/>
            </w:r>
            <w:r w:rsidR="0066424D" w:rsidRPr="0066424D">
              <w:rPr>
                <w:rFonts w:ascii="Times New Roman" w:hAnsi="Times New Roman" w:cs="Times New Roman"/>
                <w:b w:val="0"/>
                <w:bCs w:val="0"/>
                <w:noProof/>
                <w:webHidden/>
              </w:rPr>
              <w:instrText xml:space="preserve"> PAGEREF _Toc103169753 \h </w:instrText>
            </w:r>
            <w:r w:rsidR="0066424D" w:rsidRPr="0066424D">
              <w:rPr>
                <w:rFonts w:ascii="Times New Roman" w:hAnsi="Times New Roman" w:cs="Times New Roman"/>
                <w:b w:val="0"/>
                <w:bCs w:val="0"/>
                <w:noProof/>
                <w:webHidden/>
              </w:rPr>
            </w:r>
            <w:r w:rsidR="0066424D" w:rsidRPr="0066424D">
              <w:rPr>
                <w:rFonts w:ascii="Times New Roman" w:hAnsi="Times New Roman" w:cs="Times New Roman"/>
                <w:b w:val="0"/>
                <w:bCs w:val="0"/>
                <w:noProof/>
                <w:webHidden/>
              </w:rPr>
              <w:fldChar w:fldCharType="separate"/>
            </w:r>
            <w:r w:rsidR="006A0EC7">
              <w:rPr>
                <w:rFonts w:ascii="Times New Roman" w:hAnsi="Times New Roman" w:cs="Times New Roman"/>
                <w:b w:val="0"/>
                <w:bCs w:val="0"/>
                <w:noProof/>
                <w:webHidden/>
              </w:rPr>
              <w:t>15</w:t>
            </w:r>
            <w:r w:rsidR="0066424D" w:rsidRPr="0066424D">
              <w:rPr>
                <w:rFonts w:ascii="Times New Roman" w:hAnsi="Times New Roman" w:cs="Times New Roman"/>
                <w:b w:val="0"/>
                <w:bCs w:val="0"/>
                <w:noProof/>
                <w:webHidden/>
              </w:rPr>
              <w:fldChar w:fldCharType="end"/>
            </w:r>
          </w:hyperlink>
        </w:p>
        <w:p w14:paraId="42C248E3" w14:textId="21E07452" w:rsidR="0066424D" w:rsidRDefault="0066424D" w:rsidP="0066424D">
          <w:pPr>
            <w:spacing w:after="0" w:line="360" w:lineRule="auto"/>
          </w:pPr>
          <w:r w:rsidRPr="0066424D">
            <w:rPr>
              <w:rFonts w:ascii="Times New Roman" w:hAnsi="Times New Roman" w:cs="Times New Roman"/>
              <w:noProof/>
              <w:sz w:val="24"/>
              <w:szCs w:val="24"/>
            </w:rPr>
            <w:fldChar w:fldCharType="end"/>
          </w:r>
        </w:p>
      </w:sdtContent>
    </w:sdt>
    <w:bookmarkEnd w:id="2" w:displacedByCustomXml="prev"/>
    <w:p w14:paraId="0A0478FC" w14:textId="77777777" w:rsidR="00F73F1C" w:rsidRDefault="00F73F1C" w:rsidP="00CB4657">
      <w:pPr>
        <w:spacing w:after="0" w:line="240" w:lineRule="auto"/>
        <w:jc w:val="center"/>
        <w:rPr>
          <w:rFonts w:ascii="Times New Roman" w:eastAsia="Times New Roman" w:hAnsi="Times New Roman" w:cs="Times New Roman"/>
          <w:bCs/>
          <w:caps/>
          <w:sz w:val="24"/>
          <w:szCs w:val="24"/>
        </w:rPr>
      </w:pPr>
    </w:p>
    <w:p w14:paraId="44018681" w14:textId="77777777" w:rsidR="0066424D" w:rsidRDefault="0066424D">
      <w:pPr>
        <w:rPr>
          <w:rFonts w:ascii="Times New Roman" w:eastAsia="Times New Roman" w:hAnsi="Times New Roman" w:cs="Times New Roman"/>
          <w:b/>
          <w:caps/>
          <w:sz w:val="24"/>
          <w:szCs w:val="24"/>
        </w:rPr>
      </w:pPr>
      <w:bookmarkStart w:id="3" w:name="_Toc103169707"/>
      <w:r>
        <w:rPr>
          <w:sz w:val="24"/>
          <w:szCs w:val="24"/>
        </w:rPr>
        <w:br w:type="page"/>
      </w:r>
    </w:p>
    <w:p w14:paraId="68A21CE2" w14:textId="0025C4F4" w:rsidR="00F73F1C" w:rsidRPr="0066424D" w:rsidRDefault="00F73F1C" w:rsidP="0066424D">
      <w:pPr>
        <w:pStyle w:val="Heading1"/>
        <w:rPr>
          <w:sz w:val="24"/>
          <w:szCs w:val="24"/>
        </w:rPr>
      </w:pPr>
      <w:r w:rsidRPr="0066424D">
        <w:rPr>
          <w:sz w:val="24"/>
          <w:szCs w:val="24"/>
        </w:rPr>
        <w:lastRenderedPageBreak/>
        <w:t>GLOSSARY OF ACRONY</w:t>
      </w:r>
      <w:r w:rsidR="007C24D1" w:rsidRPr="0066424D">
        <w:rPr>
          <w:sz w:val="24"/>
          <w:szCs w:val="24"/>
        </w:rPr>
        <w:t>M</w:t>
      </w:r>
      <w:r w:rsidRPr="0066424D">
        <w:rPr>
          <w:sz w:val="24"/>
          <w:szCs w:val="24"/>
        </w:rPr>
        <w:t>S AND DEFINED TERMS</w:t>
      </w:r>
      <w:bookmarkEnd w:id="3"/>
    </w:p>
    <w:p w14:paraId="2E3AF2ED" w14:textId="77777777" w:rsidR="00F73F1C" w:rsidRPr="00A57807" w:rsidRDefault="00F73F1C" w:rsidP="00F73F1C">
      <w:pPr>
        <w:jc w:val="center"/>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4675"/>
        <w:gridCol w:w="4675"/>
      </w:tblGrid>
      <w:tr w:rsidR="00F73F1C" w:rsidRPr="00A57807" w14:paraId="4C669F40" w14:textId="77777777" w:rsidTr="006F09EB">
        <w:tc>
          <w:tcPr>
            <w:tcW w:w="4675" w:type="dxa"/>
          </w:tcPr>
          <w:p w14:paraId="26864C5C" w14:textId="77777777" w:rsidR="00F73F1C" w:rsidRDefault="00F73F1C" w:rsidP="006F09EB">
            <w:pPr>
              <w:rPr>
                <w:b/>
                <w:bCs/>
                <w:sz w:val="24"/>
                <w:szCs w:val="24"/>
                <w:u w:val="single"/>
              </w:rPr>
            </w:pPr>
            <w:r w:rsidRPr="00A57807">
              <w:rPr>
                <w:b/>
                <w:bCs/>
                <w:sz w:val="24"/>
                <w:szCs w:val="24"/>
                <w:u w:val="single"/>
              </w:rPr>
              <w:t>Acronym/Defined Term</w:t>
            </w:r>
          </w:p>
          <w:p w14:paraId="092C2C3C" w14:textId="77777777" w:rsidR="00F73F1C" w:rsidRPr="00A57807" w:rsidRDefault="00F73F1C" w:rsidP="006F09EB">
            <w:pPr>
              <w:rPr>
                <w:b/>
                <w:bCs/>
                <w:sz w:val="24"/>
                <w:szCs w:val="24"/>
                <w:u w:val="single"/>
              </w:rPr>
            </w:pPr>
          </w:p>
        </w:tc>
        <w:tc>
          <w:tcPr>
            <w:tcW w:w="4675" w:type="dxa"/>
          </w:tcPr>
          <w:p w14:paraId="7EA99FDB" w14:textId="77777777" w:rsidR="00F73F1C" w:rsidRPr="00A57807" w:rsidRDefault="00F73F1C" w:rsidP="006F09EB">
            <w:pPr>
              <w:rPr>
                <w:b/>
                <w:bCs/>
                <w:sz w:val="24"/>
                <w:szCs w:val="24"/>
                <w:u w:val="single"/>
              </w:rPr>
            </w:pPr>
            <w:r w:rsidRPr="00A57807">
              <w:rPr>
                <w:b/>
                <w:bCs/>
                <w:sz w:val="24"/>
                <w:szCs w:val="24"/>
                <w:u w:val="single"/>
              </w:rPr>
              <w:t>Meaning</w:t>
            </w:r>
          </w:p>
        </w:tc>
      </w:tr>
      <w:tr w:rsidR="00F73F1C" w:rsidRPr="00A57807" w14:paraId="2B104EC3" w14:textId="77777777" w:rsidTr="006F09EB">
        <w:tc>
          <w:tcPr>
            <w:tcW w:w="4675" w:type="dxa"/>
          </w:tcPr>
          <w:p w14:paraId="17F83C7C" w14:textId="77777777" w:rsidR="00F73F1C" w:rsidRPr="00A57807" w:rsidRDefault="00F73F1C" w:rsidP="006F09EB">
            <w:pPr>
              <w:rPr>
                <w:sz w:val="24"/>
                <w:szCs w:val="24"/>
              </w:rPr>
            </w:pPr>
            <w:r w:rsidRPr="00A57807">
              <w:rPr>
                <w:sz w:val="24"/>
                <w:szCs w:val="24"/>
              </w:rPr>
              <w:t>AFUDC</w:t>
            </w:r>
          </w:p>
        </w:tc>
        <w:tc>
          <w:tcPr>
            <w:tcW w:w="4675" w:type="dxa"/>
          </w:tcPr>
          <w:p w14:paraId="2935198B" w14:textId="5F28F417" w:rsidR="00F73F1C" w:rsidRPr="00A57807" w:rsidRDefault="007C24D1" w:rsidP="006F09EB">
            <w:pPr>
              <w:rPr>
                <w:bCs/>
                <w:sz w:val="24"/>
                <w:szCs w:val="24"/>
              </w:rPr>
            </w:pPr>
            <w:r>
              <w:rPr>
                <w:bCs/>
                <w:sz w:val="24"/>
                <w:szCs w:val="24"/>
              </w:rPr>
              <w:t>A</w:t>
            </w:r>
            <w:r w:rsidR="00F73F1C" w:rsidRPr="00A57807">
              <w:rPr>
                <w:bCs/>
                <w:sz w:val="24"/>
                <w:szCs w:val="24"/>
              </w:rPr>
              <w:t xml:space="preserve">llowance for </w:t>
            </w:r>
            <w:r>
              <w:rPr>
                <w:bCs/>
                <w:sz w:val="24"/>
                <w:szCs w:val="24"/>
              </w:rPr>
              <w:t>F</w:t>
            </w:r>
            <w:r w:rsidR="00F73F1C" w:rsidRPr="00A57807">
              <w:rPr>
                <w:bCs/>
                <w:sz w:val="24"/>
                <w:szCs w:val="24"/>
              </w:rPr>
              <w:t xml:space="preserve">unds </w:t>
            </w:r>
            <w:r>
              <w:rPr>
                <w:bCs/>
                <w:sz w:val="24"/>
                <w:szCs w:val="24"/>
              </w:rPr>
              <w:t>U</w:t>
            </w:r>
            <w:r w:rsidR="00F73F1C" w:rsidRPr="00A57807">
              <w:rPr>
                <w:bCs/>
                <w:sz w:val="24"/>
                <w:szCs w:val="24"/>
              </w:rPr>
              <w:t xml:space="preserve">sed </w:t>
            </w:r>
            <w:r>
              <w:rPr>
                <w:bCs/>
                <w:sz w:val="24"/>
                <w:szCs w:val="24"/>
              </w:rPr>
              <w:t>D</w:t>
            </w:r>
            <w:r w:rsidR="00F73F1C" w:rsidRPr="00A57807">
              <w:rPr>
                <w:bCs/>
                <w:sz w:val="24"/>
                <w:szCs w:val="24"/>
              </w:rPr>
              <w:t xml:space="preserve">uring </w:t>
            </w:r>
            <w:r>
              <w:rPr>
                <w:bCs/>
                <w:sz w:val="24"/>
                <w:szCs w:val="24"/>
              </w:rPr>
              <w:t>C</w:t>
            </w:r>
            <w:r w:rsidR="00F73F1C" w:rsidRPr="00A57807">
              <w:rPr>
                <w:bCs/>
                <w:sz w:val="24"/>
                <w:szCs w:val="24"/>
              </w:rPr>
              <w:t>onstruction</w:t>
            </w:r>
          </w:p>
          <w:p w14:paraId="7521C1AF" w14:textId="77777777" w:rsidR="00F73F1C" w:rsidRPr="00A57807" w:rsidRDefault="00F73F1C" w:rsidP="006F09EB">
            <w:pPr>
              <w:rPr>
                <w:sz w:val="24"/>
                <w:szCs w:val="24"/>
              </w:rPr>
            </w:pPr>
          </w:p>
        </w:tc>
      </w:tr>
      <w:tr w:rsidR="0018420D" w:rsidRPr="00A57807" w14:paraId="40396CEE" w14:textId="77777777" w:rsidTr="006F09EB">
        <w:tc>
          <w:tcPr>
            <w:tcW w:w="4675" w:type="dxa"/>
          </w:tcPr>
          <w:p w14:paraId="3D19BFFC" w14:textId="77777777" w:rsidR="0018420D" w:rsidRDefault="0018420D" w:rsidP="006F09EB">
            <w:pPr>
              <w:rPr>
                <w:sz w:val="24"/>
                <w:szCs w:val="24"/>
              </w:rPr>
            </w:pPr>
            <w:r>
              <w:rPr>
                <w:sz w:val="24"/>
                <w:szCs w:val="24"/>
              </w:rPr>
              <w:t>EA</w:t>
            </w:r>
          </w:p>
          <w:p w14:paraId="7FFB5FC6" w14:textId="7059B8F7" w:rsidR="0018420D" w:rsidRPr="00A57807" w:rsidRDefault="0018420D" w:rsidP="006F09EB">
            <w:pPr>
              <w:rPr>
                <w:sz w:val="24"/>
                <w:szCs w:val="24"/>
              </w:rPr>
            </w:pPr>
          </w:p>
        </w:tc>
        <w:tc>
          <w:tcPr>
            <w:tcW w:w="4675" w:type="dxa"/>
          </w:tcPr>
          <w:p w14:paraId="699625EA" w14:textId="0AF19124" w:rsidR="0018420D" w:rsidRDefault="0018420D" w:rsidP="006F09EB">
            <w:pPr>
              <w:rPr>
                <w:bCs/>
                <w:sz w:val="24"/>
                <w:szCs w:val="24"/>
              </w:rPr>
            </w:pPr>
            <w:r>
              <w:rPr>
                <w:bCs/>
                <w:sz w:val="24"/>
                <w:szCs w:val="24"/>
              </w:rPr>
              <w:t>Environmental Assessment</w:t>
            </w:r>
          </w:p>
        </w:tc>
      </w:tr>
      <w:tr w:rsidR="00F73F1C" w:rsidRPr="00A57807" w14:paraId="7ABB33AD" w14:textId="77777777" w:rsidTr="006F09EB">
        <w:tc>
          <w:tcPr>
            <w:tcW w:w="4675" w:type="dxa"/>
          </w:tcPr>
          <w:p w14:paraId="2BAA4FCE" w14:textId="77777777" w:rsidR="00F73F1C" w:rsidRPr="00A57807" w:rsidRDefault="00F73F1C" w:rsidP="006F09EB">
            <w:pPr>
              <w:rPr>
                <w:sz w:val="24"/>
                <w:szCs w:val="24"/>
              </w:rPr>
            </w:pPr>
            <w:r w:rsidRPr="00A57807">
              <w:rPr>
                <w:bCs/>
                <w:sz w:val="24"/>
                <w:szCs w:val="24"/>
              </w:rPr>
              <w:t>CTG</w:t>
            </w:r>
          </w:p>
        </w:tc>
        <w:tc>
          <w:tcPr>
            <w:tcW w:w="4675" w:type="dxa"/>
          </w:tcPr>
          <w:p w14:paraId="3FC457D2" w14:textId="77777777" w:rsidR="00F73F1C" w:rsidRPr="00A57807" w:rsidRDefault="00F73F1C" w:rsidP="006F09EB">
            <w:pPr>
              <w:rPr>
                <w:bCs/>
                <w:sz w:val="24"/>
                <w:szCs w:val="24"/>
              </w:rPr>
            </w:pPr>
            <w:r w:rsidRPr="00A57807">
              <w:rPr>
                <w:color w:val="242424"/>
                <w:sz w:val="24"/>
                <w:szCs w:val="24"/>
                <w:shd w:val="clear" w:color="auto" w:fill="FFFFFF"/>
              </w:rPr>
              <w:t>Combustion Turbine Generator</w:t>
            </w:r>
          </w:p>
          <w:p w14:paraId="6A69DFCA" w14:textId="77777777" w:rsidR="00F73F1C" w:rsidRPr="00A57807" w:rsidRDefault="00F73F1C" w:rsidP="006F09EB">
            <w:pPr>
              <w:rPr>
                <w:sz w:val="24"/>
                <w:szCs w:val="24"/>
              </w:rPr>
            </w:pPr>
          </w:p>
        </w:tc>
      </w:tr>
      <w:tr w:rsidR="00F73F1C" w:rsidRPr="00A57807" w14:paraId="502D7CF8" w14:textId="77777777" w:rsidTr="006F09EB">
        <w:trPr>
          <w:trHeight w:val="314"/>
        </w:trPr>
        <w:tc>
          <w:tcPr>
            <w:tcW w:w="4675" w:type="dxa"/>
          </w:tcPr>
          <w:p w14:paraId="7ABA783E" w14:textId="77777777" w:rsidR="00F73F1C" w:rsidRDefault="00F73F1C" w:rsidP="006F09EB">
            <w:pPr>
              <w:rPr>
                <w:bCs/>
                <w:sz w:val="24"/>
                <w:szCs w:val="24"/>
              </w:rPr>
            </w:pPr>
            <w:r w:rsidRPr="00A57807">
              <w:rPr>
                <w:bCs/>
                <w:sz w:val="24"/>
                <w:szCs w:val="24"/>
              </w:rPr>
              <w:t>IRP</w:t>
            </w:r>
          </w:p>
          <w:p w14:paraId="5EA3E13A" w14:textId="77777777" w:rsidR="00F73F1C" w:rsidRPr="00A57807" w:rsidRDefault="00F73F1C" w:rsidP="006F09EB">
            <w:pPr>
              <w:rPr>
                <w:sz w:val="24"/>
                <w:szCs w:val="24"/>
              </w:rPr>
            </w:pPr>
          </w:p>
        </w:tc>
        <w:tc>
          <w:tcPr>
            <w:tcW w:w="4675" w:type="dxa"/>
          </w:tcPr>
          <w:p w14:paraId="50044DE7" w14:textId="77777777" w:rsidR="00F73F1C" w:rsidRPr="00A57807" w:rsidRDefault="00F73F1C" w:rsidP="006F09EB">
            <w:pPr>
              <w:rPr>
                <w:sz w:val="24"/>
                <w:szCs w:val="24"/>
              </w:rPr>
            </w:pPr>
            <w:r w:rsidRPr="00A57807">
              <w:rPr>
                <w:bCs/>
                <w:sz w:val="24"/>
                <w:szCs w:val="24"/>
              </w:rPr>
              <w:t>Integrated Resource Plan</w:t>
            </w:r>
          </w:p>
        </w:tc>
      </w:tr>
      <w:tr w:rsidR="00F73F1C" w:rsidRPr="00A57807" w14:paraId="3F748C4D" w14:textId="77777777" w:rsidTr="006F09EB">
        <w:tc>
          <w:tcPr>
            <w:tcW w:w="4675" w:type="dxa"/>
          </w:tcPr>
          <w:p w14:paraId="7C201F11" w14:textId="77777777" w:rsidR="00F73F1C" w:rsidRDefault="00F73F1C" w:rsidP="006F09EB">
            <w:pPr>
              <w:rPr>
                <w:bCs/>
                <w:sz w:val="24"/>
                <w:szCs w:val="24"/>
              </w:rPr>
            </w:pPr>
            <w:r w:rsidRPr="00A57807">
              <w:rPr>
                <w:bCs/>
                <w:sz w:val="24"/>
                <w:szCs w:val="24"/>
              </w:rPr>
              <w:t>NAAQS</w:t>
            </w:r>
          </w:p>
          <w:p w14:paraId="7754BB5F" w14:textId="77777777" w:rsidR="00F73F1C" w:rsidRPr="00A57807" w:rsidRDefault="00F73F1C" w:rsidP="006F09EB">
            <w:pPr>
              <w:rPr>
                <w:sz w:val="24"/>
                <w:szCs w:val="24"/>
              </w:rPr>
            </w:pPr>
          </w:p>
        </w:tc>
        <w:tc>
          <w:tcPr>
            <w:tcW w:w="4675" w:type="dxa"/>
          </w:tcPr>
          <w:p w14:paraId="08A51072" w14:textId="77777777" w:rsidR="00F73F1C" w:rsidRPr="00A57807" w:rsidRDefault="00F73F1C" w:rsidP="006F09EB">
            <w:pPr>
              <w:rPr>
                <w:sz w:val="24"/>
                <w:szCs w:val="24"/>
              </w:rPr>
            </w:pPr>
            <w:r w:rsidRPr="00A57807">
              <w:rPr>
                <w:bCs/>
                <w:sz w:val="24"/>
                <w:szCs w:val="24"/>
              </w:rPr>
              <w:t>Integrated Resource Plan</w:t>
            </w:r>
          </w:p>
        </w:tc>
      </w:tr>
      <w:tr w:rsidR="00153B7E" w:rsidRPr="00A57807" w14:paraId="3188D4A5" w14:textId="77777777" w:rsidTr="00153B7E">
        <w:trPr>
          <w:trHeight w:val="737"/>
        </w:trPr>
        <w:tc>
          <w:tcPr>
            <w:tcW w:w="4675" w:type="dxa"/>
            <w:vAlign w:val="center"/>
          </w:tcPr>
          <w:p w14:paraId="42E95D85" w14:textId="77777777" w:rsidR="00153B7E" w:rsidRDefault="00153B7E" w:rsidP="00153B7E">
            <w:pPr>
              <w:jc w:val="left"/>
              <w:rPr>
                <w:bCs/>
                <w:sz w:val="24"/>
                <w:szCs w:val="24"/>
              </w:rPr>
            </w:pPr>
            <w:r w:rsidRPr="00A57807">
              <w:rPr>
                <w:bCs/>
                <w:sz w:val="24"/>
                <w:szCs w:val="24"/>
              </w:rPr>
              <w:t>TCEQ</w:t>
            </w:r>
          </w:p>
          <w:p w14:paraId="4B7E6EFC" w14:textId="77777777" w:rsidR="00153B7E" w:rsidRPr="00A57807" w:rsidRDefault="00153B7E" w:rsidP="00153B7E">
            <w:pPr>
              <w:jc w:val="left"/>
              <w:rPr>
                <w:bCs/>
                <w:sz w:val="24"/>
                <w:szCs w:val="24"/>
              </w:rPr>
            </w:pPr>
          </w:p>
        </w:tc>
        <w:tc>
          <w:tcPr>
            <w:tcW w:w="4675" w:type="dxa"/>
            <w:vAlign w:val="center"/>
          </w:tcPr>
          <w:p w14:paraId="4C74A272" w14:textId="6788CB6E" w:rsidR="00153B7E" w:rsidRPr="00A57807" w:rsidRDefault="00153B7E" w:rsidP="00153B7E">
            <w:pPr>
              <w:jc w:val="left"/>
              <w:rPr>
                <w:bCs/>
                <w:sz w:val="24"/>
                <w:szCs w:val="24"/>
              </w:rPr>
            </w:pPr>
            <w:r w:rsidRPr="00A57807">
              <w:rPr>
                <w:bCs/>
                <w:sz w:val="24"/>
                <w:szCs w:val="24"/>
              </w:rPr>
              <w:t>Texas Commission on Environmental Quality</w:t>
            </w:r>
          </w:p>
        </w:tc>
      </w:tr>
      <w:tr w:rsidR="00153B7E" w:rsidRPr="00A57807" w14:paraId="74AFBBF5" w14:textId="77777777" w:rsidTr="00153B7E">
        <w:tc>
          <w:tcPr>
            <w:tcW w:w="4675" w:type="dxa"/>
            <w:vAlign w:val="center"/>
          </w:tcPr>
          <w:p w14:paraId="0CF690B2" w14:textId="0B7B795A" w:rsidR="00153B7E" w:rsidRPr="00A57807" w:rsidRDefault="00153B7E" w:rsidP="00153B7E">
            <w:pPr>
              <w:jc w:val="left"/>
              <w:rPr>
                <w:bCs/>
                <w:sz w:val="24"/>
                <w:szCs w:val="24"/>
              </w:rPr>
            </w:pPr>
            <w:r>
              <w:rPr>
                <w:bCs/>
                <w:sz w:val="24"/>
                <w:szCs w:val="24"/>
              </w:rPr>
              <w:t>TPWC</w:t>
            </w:r>
          </w:p>
        </w:tc>
        <w:tc>
          <w:tcPr>
            <w:tcW w:w="4675" w:type="dxa"/>
            <w:vAlign w:val="center"/>
          </w:tcPr>
          <w:p w14:paraId="2524A957" w14:textId="77777777" w:rsidR="00153B7E" w:rsidRDefault="00153B7E" w:rsidP="00153B7E">
            <w:pPr>
              <w:jc w:val="left"/>
              <w:rPr>
                <w:bCs/>
                <w:sz w:val="24"/>
                <w:szCs w:val="24"/>
              </w:rPr>
            </w:pPr>
            <w:r>
              <w:rPr>
                <w:bCs/>
                <w:sz w:val="24"/>
                <w:szCs w:val="24"/>
              </w:rPr>
              <w:t>Texas Parks and Wildlife Code</w:t>
            </w:r>
          </w:p>
          <w:p w14:paraId="6A19A3D9" w14:textId="77777777" w:rsidR="00153B7E" w:rsidRPr="00A57807" w:rsidRDefault="00153B7E" w:rsidP="00153B7E">
            <w:pPr>
              <w:jc w:val="left"/>
              <w:rPr>
                <w:bCs/>
                <w:sz w:val="24"/>
                <w:szCs w:val="24"/>
              </w:rPr>
            </w:pPr>
          </w:p>
        </w:tc>
      </w:tr>
      <w:tr w:rsidR="00153B7E" w:rsidRPr="00A57807" w14:paraId="4427B2A2" w14:textId="77777777" w:rsidTr="006F09EB">
        <w:tc>
          <w:tcPr>
            <w:tcW w:w="467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9"/>
            </w:tblGrid>
            <w:tr w:rsidR="00153B7E" w:rsidRPr="00A57807" w14:paraId="43C382D3" w14:textId="77777777" w:rsidTr="00FC1A37">
              <w:tc>
                <w:tcPr>
                  <w:tcW w:w="4675" w:type="dxa"/>
                </w:tcPr>
                <w:p w14:paraId="23CB27D3" w14:textId="77777777" w:rsidR="00153B7E" w:rsidRPr="00A57807" w:rsidRDefault="00153B7E" w:rsidP="00153B7E">
                  <w:pPr>
                    <w:rPr>
                      <w:bCs/>
                      <w:sz w:val="24"/>
                      <w:szCs w:val="24"/>
                    </w:rPr>
                  </w:pPr>
                </w:p>
              </w:tc>
            </w:tr>
            <w:tr w:rsidR="00153B7E" w:rsidRPr="00A57807" w14:paraId="0B9B44A9" w14:textId="77777777" w:rsidTr="00FC1A37">
              <w:tc>
                <w:tcPr>
                  <w:tcW w:w="4675" w:type="dxa"/>
                </w:tcPr>
                <w:p w14:paraId="3E7EA2D5" w14:textId="77777777" w:rsidR="00153B7E" w:rsidRDefault="00153B7E" w:rsidP="00153B7E">
                  <w:pPr>
                    <w:rPr>
                      <w:bCs/>
                      <w:sz w:val="24"/>
                      <w:szCs w:val="24"/>
                    </w:rPr>
                  </w:pPr>
                  <w:r w:rsidRPr="00A57807">
                    <w:rPr>
                      <w:bCs/>
                      <w:sz w:val="24"/>
                      <w:szCs w:val="24"/>
                    </w:rPr>
                    <w:t>TPWD</w:t>
                  </w:r>
                </w:p>
                <w:p w14:paraId="1B39987A" w14:textId="77777777" w:rsidR="00153B7E" w:rsidRPr="00A57807" w:rsidRDefault="00153B7E" w:rsidP="00153B7E">
                  <w:pPr>
                    <w:rPr>
                      <w:bCs/>
                      <w:sz w:val="24"/>
                      <w:szCs w:val="24"/>
                    </w:rPr>
                  </w:pPr>
                </w:p>
              </w:tc>
            </w:tr>
          </w:tbl>
          <w:p w14:paraId="4CA47F72" w14:textId="77777777" w:rsidR="00153B7E" w:rsidRPr="00A57807" w:rsidRDefault="00153B7E" w:rsidP="00153B7E">
            <w:pPr>
              <w:rPr>
                <w:bCs/>
                <w:sz w:val="24"/>
                <w:szCs w:val="24"/>
              </w:rPr>
            </w:pPr>
          </w:p>
        </w:tc>
        <w:tc>
          <w:tcPr>
            <w:tcW w:w="467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5"/>
            </w:tblGrid>
            <w:tr w:rsidR="00153B7E" w:rsidRPr="00A57807" w14:paraId="4DEC703B" w14:textId="77777777" w:rsidTr="00153B7E">
              <w:tc>
                <w:tcPr>
                  <w:tcW w:w="1875" w:type="dxa"/>
                </w:tcPr>
                <w:p w14:paraId="0E49B9EC" w14:textId="77777777" w:rsidR="00153B7E" w:rsidRPr="00A57807" w:rsidRDefault="00153B7E" w:rsidP="00153B7E">
                  <w:pPr>
                    <w:rPr>
                      <w:bCs/>
                      <w:sz w:val="24"/>
                      <w:szCs w:val="24"/>
                    </w:rPr>
                  </w:pPr>
                </w:p>
              </w:tc>
            </w:tr>
          </w:tbl>
          <w:p w14:paraId="5DBA0391" w14:textId="7801AB31" w:rsidR="00153B7E" w:rsidRPr="00A57807" w:rsidRDefault="00153B7E" w:rsidP="00153B7E">
            <w:pPr>
              <w:rPr>
                <w:bCs/>
                <w:sz w:val="24"/>
                <w:szCs w:val="24"/>
              </w:rPr>
            </w:pPr>
            <w:r w:rsidRPr="00153B7E">
              <w:rPr>
                <w:bCs/>
                <w:sz w:val="24"/>
                <w:szCs w:val="24"/>
              </w:rPr>
              <w:t>Texas Parks and Wildlife Department</w:t>
            </w:r>
          </w:p>
        </w:tc>
      </w:tr>
      <w:tr w:rsidR="00153B7E" w:rsidRPr="00A57807" w14:paraId="6CFE66B7" w14:textId="77777777" w:rsidTr="006F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65276E42" w14:textId="77777777" w:rsidR="00153B7E" w:rsidRPr="00A57807" w:rsidRDefault="00153B7E" w:rsidP="00153B7E">
            <w:pPr>
              <w:rPr>
                <w:bCs/>
                <w:sz w:val="24"/>
                <w:szCs w:val="24"/>
              </w:rPr>
            </w:pPr>
          </w:p>
        </w:tc>
        <w:tc>
          <w:tcPr>
            <w:tcW w:w="4675" w:type="dxa"/>
          </w:tcPr>
          <w:p w14:paraId="34BDB610" w14:textId="71AAE9A3" w:rsidR="00153B7E" w:rsidRPr="00A57807" w:rsidRDefault="00153B7E" w:rsidP="00153B7E">
            <w:pPr>
              <w:rPr>
                <w:bCs/>
                <w:sz w:val="24"/>
                <w:szCs w:val="24"/>
              </w:rPr>
            </w:pPr>
          </w:p>
        </w:tc>
      </w:tr>
      <w:tr w:rsidR="00153B7E" w:rsidRPr="00A57807" w14:paraId="1C3B0AC5" w14:textId="77777777" w:rsidTr="006F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24D1B4EA" w14:textId="0ECE8D19" w:rsidR="00153B7E" w:rsidRPr="00A57807" w:rsidRDefault="00153B7E" w:rsidP="00153B7E">
            <w:pPr>
              <w:rPr>
                <w:bCs/>
                <w:sz w:val="24"/>
                <w:szCs w:val="24"/>
              </w:rPr>
            </w:pPr>
          </w:p>
        </w:tc>
        <w:tc>
          <w:tcPr>
            <w:tcW w:w="4675" w:type="dxa"/>
          </w:tcPr>
          <w:p w14:paraId="1C163D51" w14:textId="25ABA3B2" w:rsidR="00153B7E" w:rsidRPr="00A57807" w:rsidRDefault="00153B7E" w:rsidP="00153B7E">
            <w:pPr>
              <w:rPr>
                <w:bCs/>
                <w:sz w:val="24"/>
                <w:szCs w:val="24"/>
              </w:rPr>
            </w:pPr>
          </w:p>
        </w:tc>
      </w:tr>
      <w:tr w:rsidR="00153B7E" w:rsidRPr="00A57807" w14:paraId="345C0A86" w14:textId="77777777" w:rsidTr="006F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14:paraId="76916CD6" w14:textId="77777777" w:rsidR="00153B7E" w:rsidRPr="00A57807" w:rsidRDefault="00153B7E" w:rsidP="00153B7E">
            <w:pPr>
              <w:rPr>
                <w:bCs/>
                <w:sz w:val="24"/>
                <w:szCs w:val="24"/>
              </w:rPr>
            </w:pPr>
          </w:p>
        </w:tc>
        <w:tc>
          <w:tcPr>
            <w:tcW w:w="4675" w:type="dxa"/>
          </w:tcPr>
          <w:p w14:paraId="44095058" w14:textId="389D86D0" w:rsidR="00153B7E" w:rsidRPr="00A57807" w:rsidRDefault="00153B7E" w:rsidP="00153B7E">
            <w:pPr>
              <w:rPr>
                <w:bCs/>
                <w:sz w:val="24"/>
                <w:szCs w:val="24"/>
              </w:rPr>
            </w:pPr>
          </w:p>
        </w:tc>
      </w:tr>
    </w:tbl>
    <w:p w14:paraId="4A0C8641" w14:textId="77777777" w:rsidR="00F73F1C" w:rsidRPr="00A57807" w:rsidRDefault="00F73F1C" w:rsidP="00F73F1C">
      <w:pPr>
        <w:rPr>
          <w:rFonts w:ascii="Times New Roman" w:hAnsi="Times New Roman" w:cs="Times New Roman"/>
          <w:sz w:val="24"/>
          <w:szCs w:val="24"/>
        </w:rPr>
      </w:pPr>
    </w:p>
    <w:p w14:paraId="5D8741B4" w14:textId="77777777" w:rsidR="00F73F1C" w:rsidRPr="00A57807" w:rsidRDefault="00F73F1C" w:rsidP="00F73F1C">
      <w:pPr>
        <w:rPr>
          <w:rFonts w:ascii="Times New Roman" w:hAnsi="Times New Roman" w:cs="Times New Roman"/>
          <w:sz w:val="24"/>
          <w:szCs w:val="24"/>
        </w:rPr>
      </w:pPr>
    </w:p>
    <w:p w14:paraId="17537D24" w14:textId="642C13E7" w:rsidR="00CB4657" w:rsidRPr="00626552" w:rsidRDefault="00626552" w:rsidP="00CB4657">
      <w:pPr>
        <w:spacing w:after="0" w:line="240" w:lineRule="auto"/>
        <w:jc w:val="center"/>
        <w:rPr>
          <w:rFonts w:ascii="Times New Roman" w:eastAsia="Times New Roman" w:hAnsi="Times New Roman" w:cs="Times New Roman"/>
          <w:b/>
          <w:caps/>
          <w:sz w:val="24"/>
          <w:szCs w:val="24"/>
        </w:rPr>
      </w:pPr>
      <w:r w:rsidRPr="00626552">
        <w:rPr>
          <w:rFonts w:ascii="Times New Roman" w:eastAsia="Times New Roman" w:hAnsi="Times New Roman" w:cs="Times New Roman"/>
          <w:b/>
          <w:caps/>
          <w:sz w:val="28"/>
          <w:szCs w:val="20"/>
        </w:rPr>
        <w:br w:type="page"/>
      </w:r>
      <w:r w:rsidR="00CB4657" w:rsidRPr="00626552">
        <w:rPr>
          <w:rFonts w:ascii="Times New Roman" w:eastAsia="Times New Roman" w:hAnsi="Times New Roman" w:cs="Times New Roman"/>
          <w:b/>
          <w:caps/>
          <w:sz w:val="24"/>
          <w:szCs w:val="24"/>
        </w:rPr>
        <w:lastRenderedPageBreak/>
        <w:t>SOAH DOCKET NO. 473-</w:t>
      </w:r>
      <w:r w:rsidR="00CB4657">
        <w:rPr>
          <w:rFonts w:ascii="Times New Roman" w:eastAsia="Times New Roman" w:hAnsi="Times New Roman" w:cs="Times New Roman"/>
          <w:b/>
          <w:caps/>
          <w:sz w:val="24"/>
          <w:szCs w:val="24"/>
        </w:rPr>
        <w:t>22-1073</w:t>
      </w:r>
    </w:p>
    <w:p w14:paraId="78F48333" w14:textId="77777777" w:rsidR="00CB4657" w:rsidRPr="00626552" w:rsidRDefault="00CB4657" w:rsidP="00CB4657">
      <w:pPr>
        <w:spacing w:after="0" w:line="240" w:lineRule="auto"/>
        <w:jc w:val="center"/>
        <w:rPr>
          <w:rFonts w:ascii="Times New Roman" w:eastAsia="Times New Roman" w:hAnsi="Times New Roman" w:cs="Times New Roman"/>
          <w:b/>
          <w:caps/>
          <w:sz w:val="24"/>
          <w:szCs w:val="24"/>
        </w:rPr>
      </w:pPr>
      <w:r w:rsidRPr="00626552">
        <w:rPr>
          <w:rFonts w:ascii="Times New Roman" w:eastAsia="Times New Roman" w:hAnsi="Times New Roman" w:cs="Times New Roman"/>
          <w:b/>
          <w:caps/>
          <w:sz w:val="24"/>
          <w:szCs w:val="24"/>
        </w:rPr>
        <w:t xml:space="preserve">PUC DOCKET NO. </w:t>
      </w:r>
      <w:r>
        <w:rPr>
          <w:rFonts w:ascii="Times New Roman" w:eastAsia="Times New Roman" w:hAnsi="Times New Roman" w:cs="Times New Roman"/>
          <w:b/>
          <w:caps/>
          <w:sz w:val="24"/>
          <w:szCs w:val="24"/>
        </w:rPr>
        <w:t>52485</w:t>
      </w:r>
    </w:p>
    <w:p w14:paraId="575A3369" w14:textId="77777777" w:rsidR="00CB4657" w:rsidRPr="00626552" w:rsidRDefault="00CB4657" w:rsidP="00CB4657">
      <w:pPr>
        <w:spacing w:after="0" w:line="240" w:lineRule="auto"/>
        <w:jc w:val="center"/>
        <w:rPr>
          <w:rFonts w:ascii="Times New Roman" w:eastAsia="Times New Roman" w:hAnsi="Times New Roman" w:cs="Times New Roman"/>
          <w:b/>
          <w:caps/>
          <w:sz w:val="24"/>
          <w:szCs w:val="24"/>
        </w:rPr>
      </w:pPr>
    </w:p>
    <w:tbl>
      <w:tblPr>
        <w:tblW w:w="0" w:type="auto"/>
        <w:tblLayout w:type="fixed"/>
        <w:tblLook w:val="01E0" w:firstRow="1" w:lastRow="1" w:firstColumn="1" w:lastColumn="1" w:noHBand="0" w:noVBand="0"/>
      </w:tblPr>
      <w:tblGrid>
        <w:gridCol w:w="4788"/>
        <w:gridCol w:w="270"/>
        <w:gridCol w:w="4518"/>
      </w:tblGrid>
      <w:tr w:rsidR="00CB4657" w:rsidRPr="00626552" w14:paraId="7C6F57A8" w14:textId="77777777" w:rsidTr="00546606">
        <w:trPr>
          <w:trHeight w:val="1953"/>
        </w:trPr>
        <w:tc>
          <w:tcPr>
            <w:tcW w:w="4788" w:type="dxa"/>
          </w:tcPr>
          <w:p w14:paraId="3A7334F6" w14:textId="77777777" w:rsidR="00CB4657" w:rsidRPr="00626552" w:rsidRDefault="00CB4657" w:rsidP="00546606">
            <w:pPr>
              <w:spacing w:after="0" w:line="240" w:lineRule="auto"/>
              <w:rPr>
                <w:rFonts w:ascii="Times New Roman" w:eastAsia="Times New Roman" w:hAnsi="Times New Roman" w:cs="Times New Roman"/>
                <w:b/>
                <w:bCs/>
                <w:sz w:val="24"/>
                <w:szCs w:val="20"/>
              </w:rPr>
            </w:pPr>
            <w:r w:rsidRPr="0038378D">
              <w:rPr>
                <w:rFonts w:ascii="Times New Roman" w:eastAsia="Times New Roman" w:hAnsi="Times New Roman" w:cs="Times New Roman"/>
                <w:b/>
                <w:bCs/>
                <w:sz w:val="24"/>
                <w:szCs w:val="20"/>
              </w:rPr>
              <w:t>APPLICATION OF SOUTHWESTERN PUBLIC SERVICE COMPANY TO AMEND ITS CERTIFICATE OF CONVENIENCE AND NECESSITY TO CONVERT HARRINGTON GENERATING STATION FROM COAL TO NATURAL GAS</w:t>
            </w:r>
          </w:p>
        </w:tc>
        <w:tc>
          <w:tcPr>
            <w:tcW w:w="270" w:type="dxa"/>
          </w:tcPr>
          <w:p w14:paraId="70C397D5"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1AA4B7BF"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3C29ED7C"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2F887262"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2098E641"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24C61E7C"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p w14:paraId="5F8C50D7" w14:textId="77777777" w:rsidR="00CB4657" w:rsidRPr="00626552" w:rsidRDefault="00CB4657" w:rsidP="00546606">
            <w:pPr>
              <w:spacing w:after="0" w:line="240" w:lineRule="auto"/>
              <w:jc w:val="center"/>
              <w:rPr>
                <w:rFonts w:ascii="Times New Roman" w:eastAsia="Times New Roman" w:hAnsi="Times New Roman" w:cs="Times New Roman"/>
                <w:b/>
                <w:bCs/>
                <w:sz w:val="24"/>
                <w:szCs w:val="20"/>
              </w:rPr>
            </w:pPr>
            <w:r w:rsidRPr="00626552">
              <w:rPr>
                <w:rFonts w:ascii="Times New Roman" w:eastAsia="Times New Roman" w:hAnsi="Times New Roman" w:cs="Times New Roman"/>
                <w:b/>
                <w:bCs/>
                <w:sz w:val="24"/>
                <w:szCs w:val="20"/>
              </w:rPr>
              <w:t>§</w:t>
            </w:r>
          </w:p>
        </w:tc>
        <w:tc>
          <w:tcPr>
            <w:tcW w:w="4518" w:type="dxa"/>
          </w:tcPr>
          <w:p w14:paraId="2506211F" w14:textId="77777777" w:rsidR="00CB4657" w:rsidRPr="00626552" w:rsidRDefault="00CB4657" w:rsidP="00546606">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BEFORE THE STATE OFFICE</w:t>
            </w:r>
          </w:p>
          <w:p w14:paraId="77317401" w14:textId="77777777" w:rsidR="00CB4657" w:rsidRPr="00626552" w:rsidRDefault="00CB4657" w:rsidP="00546606">
            <w:pPr>
              <w:keepNext/>
              <w:tabs>
                <w:tab w:val="center" w:pos="4770"/>
                <w:tab w:val="left" w:pos="5400"/>
              </w:tabs>
              <w:spacing w:after="0" w:line="240" w:lineRule="auto"/>
              <w:jc w:val="both"/>
              <w:rPr>
                <w:rFonts w:ascii="Times New Roman" w:eastAsia="Times New Roman" w:hAnsi="Times New Roman" w:cs="Times New Roman"/>
                <w:b/>
                <w:bCs/>
                <w:caps/>
                <w:sz w:val="24"/>
                <w:szCs w:val="20"/>
              </w:rPr>
            </w:pPr>
          </w:p>
          <w:p w14:paraId="3F3C5116" w14:textId="77777777" w:rsidR="00CB4657" w:rsidRPr="00626552" w:rsidRDefault="00CB4657" w:rsidP="00546606">
            <w:pPr>
              <w:keepNext/>
              <w:tabs>
                <w:tab w:val="center" w:pos="4770"/>
                <w:tab w:val="left" w:pos="5400"/>
              </w:tabs>
              <w:spacing w:after="0" w:line="240" w:lineRule="auto"/>
              <w:jc w:val="both"/>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w:t>
            </w:r>
          </w:p>
          <w:p w14:paraId="07FF8340" w14:textId="77777777" w:rsidR="00CB4657" w:rsidRPr="00626552" w:rsidRDefault="00CB4657" w:rsidP="00546606">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OF</w:t>
            </w:r>
            <w:r w:rsidRPr="00626552">
              <w:rPr>
                <w:rFonts w:ascii="Times New Roman" w:eastAsia="Times New Roman" w:hAnsi="Times New Roman" w:cs="Times New Roman"/>
                <w:b/>
                <w:bCs/>
                <w:caps/>
                <w:sz w:val="24"/>
                <w:szCs w:val="20"/>
              </w:rPr>
              <w:br/>
            </w:r>
          </w:p>
          <w:p w14:paraId="705AE1F3" w14:textId="77777777" w:rsidR="00CB4657" w:rsidRPr="00626552" w:rsidRDefault="00CB4657" w:rsidP="00546606">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w:t>
            </w:r>
          </w:p>
          <w:p w14:paraId="699B0DDA" w14:textId="77777777" w:rsidR="00CB4657" w:rsidRPr="00626552" w:rsidRDefault="00CB4657" w:rsidP="00546606">
            <w:pPr>
              <w:keepNext/>
              <w:tabs>
                <w:tab w:val="center" w:pos="4770"/>
                <w:tab w:val="left" w:pos="5400"/>
              </w:tabs>
              <w:spacing w:after="0" w:line="240" w:lineRule="auto"/>
              <w:rPr>
                <w:rFonts w:ascii="Times New Roman" w:eastAsia="Times New Roman" w:hAnsi="Times New Roman" w:cs="Times New Roman"/>
                <w:b/>
                <w:bCs/>
                <w:caps/>
                <w:sz w:val="24"/>
                <w:szCs w:val="20"/>
              </w:rPr>
            </w:pPr>
            <w:r w:rsidRPr="00626552">
              <w:rPr>
                <w:rFonts w:ascii="Times New Roman" w:eastAsia="Times New Roman" w:hAnsi="Times New Roman" w:cs="Times New Roman"/>
                <w:b/>
                <w:bCs/>
                <w:caps/>
                <w:sz w:val="24"/>
                <w:szCs w:val="20"/>
              </w:rPr>
              <w:t xml:space="preserve">    ADMINISTRATIVE HEARINGS</w:t>
            </w:r>
          </w:p>
        </w:tc>
      </w:tr>
    </w:tbl>
    <w:p w14:paraId="1F5FB411" w14:textId="5682C4B6" w:rsidR="00626552" w:rsidRPr="00626552" w:rsidRDefault="00626552" w:rsidP="00CB4657">
      <w:pPr>
        <w:spacing w:after="0" w:line="240" w:lineRule="auto"/>
        <w:jc w:val="center"/>
        <w:rPr>
          <w:rFonts w:ascii="Times New Roman" w:eastAsia="Times New Roman" w:hAnsi="Times New Roman" w:cs="Times New Roman"/>
          <w:b/>
          <w:caps/>
          <w:sz w:val="28"/>
          <w:szCs w:val="20"/>
        </w:rPr>
      </w:pPr>
    </w:p>
    <w:p w14:paraId="358BB81C" w14:textId="77777777" w:rsidR="00626552" w:rsidRPr="00626552" w:rsidRDefault="00626552" w:rsidP="00626552">
      <w:pPr>
        <w:keepNext/>
        <w:spacing w:after="0" w:line="240" w:lineRule="auto"/>
        <w:jc w:val="center"/>
        <w:rPr>
          <w:rFonts w:ascii="Times New Roman" w:eastAsia="Times New Roman" w:hAnsi="Times New Roman" w:cs="Times New Roman"/>
          <w:b/>
          <w:caps/>
          <w:sz w:val="24"/>
          <w:szCs w:val="24"/>
        </w:rPr>
      </w:pPr>
    </w:p>
    <w:p w14:paraId="4C22CC09" w14:textId="77777777" w:rsidR="00626552" w:rsidRPr="00626552" w:rsidRDefault="00626552" w:rsidP="00626552">
      <w:pPr>
        <w:keepNext/>
        <w:spacing w:after="0" w:line="240" w:lineRule="auto"/>
        <w:jc w:val="center"/>
        <w:rPr>
          <w:rFonts w:ascii="Times New Roman" w:eastAsia="Times New Roman" w:hAnsi="Times New Roman" w:cs="Times New Roman"/>
          <w:b/>
          <w:caps/>
          <w:sz w:val="24"/>
          <w:szCs w:val="24"/>
        </w:rPr>
      </w:pPr>
      <w:r w:rsidRPr="00626552">
        <w:rPr>
          <w:rFonts w:ascii="Times New Roman" w:eastAsia="Times New Roman" w:hAnsi="Times New Roman" w:cs="Times New Roman"/>
          <w:b/>
          <w:caps/>
          <w:sz w:val="24"/>
          <w:szCs w:val="24"/>
        </w:rPr>
        <w:t>commission staff’s initial brief</w:t>
      </w:r>
    </w:p>
    <w:p w14:paraId="6DFA4225" w14:textId="77777777" w:rsidR="00626552" w:rsidRPr="00626552" w:rsidRDefault="00626552" w:rsidP="00626552">
      <w:pPr>
        <w:spacing w:after="0" w:line="360" w:lineRule="auto"/>
        <w:jc w:val="both"/>
        <w:rPr>
          <w:rFonts w:ascii="Times New Roman" w:eastAsia="Times New Roman" w:hAnsi="Times New Roman" w:cs="Times New Roman"/>
          <w:sz w:val="24"/>
          <w:szCs w:val="24"/>
        </w:rPr>
      </w:pPr>
    </w:p>
    <w:p w14:paraId="34C86D38" w14:textId="77777777" w:rsidR="00626552" w:rsidRPr="00626552" w:rsidRDefault="00626552" w:rsidP="00626552">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4" w:name="_Toc34653769"/>
      <w:bookmarkStart w:id="5" w:name="_Toc103169708"/>
      <w:r w:rsidRPr="00626552">
        <w:rPr>
          <w:rFonts w:ascii="Times New Roman" w:eastAsia="Times New Roman" w:hAnsi="Times New Roman" w:cs="Times New Roman"/>
          <w:b/>
          <w:caps/>
          <w:sz w:val="24"/>
          <w:szCs w:val="24"/>
        </w:rPr>
        <w:t>Introduction</w:t>
      </w:r>
      <w:bookmarkEnd w:id="4"/>
      <w:bookmarkEnd w:id="5"/>
    </w:p>
    <w:p w14:paraId="0812C6DA" w14:textId="4C168B99" w:rsidR="00626552" w:rsidRPr="00626552" w:rsidRDefault="004D2D3F" w:rsidP="004D2D3F">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bCs/>
          <w:sz w:val="24"/>
          <w:szCs w:val="20"/>
        </w:rPr>
        <w:t>On August 27, 2021</w:t>
      </w:r>
      <w:r w:rsidR="00EA3A77">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Southwester</w:t>
      </w:r>
      <w:r w:rsidR="00741965">
        <w:rPr>
          <w:rFonts w:ascii="Times New Roman" w:eastAsia="Times New Roman" w:hAnsi="Times New Roman" w:cs="Times New Roman"/>
          <w:bCs/>
          <w:sz w:val="24"/>
          <w:szCs w:val="20"/>
        </w:rPr>
        <w:t>n</w:t>
      </w:r>
      <w:r>
        <w:rPr>
          <w:rFonts w:ascii="Times New Roman" w:eastAsia="Times New Roman" w:hAnsi="Times New Roman" w:cs="Times New Roman"/>
          <w:bCs/>
          <w:sz w:val="24"/>
          <w:szCs w:val="20"/>
        </w:rPr>
        <w:t xml:space="preserve"> Public Service Company (SPS) filed an application to </w:t>
      </w:r>
      <w:r w:rsidR="007A54CB">
        <w:rPr>
          <w:rFonts w:ascii="Times New Roman" w:eastAsia="Times New Roman" w:hAnsi="Times New Roman" w:cs="Times New Roman"/>
          <w:bCs/>
          <w:sz w:val="24"/>
          <w:szCs w:val="20"/>
        </w:rPr>
        <w:t xml:space="preserve">amend its </w:t>
      </w:r>
      <w:r w:rsidR="00786A5E">
        <w:rPr>
          <w:rFonts w:ascii="Times New Roman" w:eastAsia="Times New Roman" w:hAnsi="Times New Roman" w:cs="Times New Roman"/>
          <w:bCs/>
          <w:sz w:val="24"/>
          <w:szCs w:val="20"/>
        </w:rPr>
        <w:t>c</w:t>
      </w:r>
      <w:r w:rsidR="007A54CB">
        <w:rPr>
          <w:rFonts w:ascii="Times New Roman" w:eastAsia="Times New Roman" w:hAnsi="Times New Roman" w:cs="Times New Roman"/>
          <w:bCs/>
          <w:sz w:val="24"/>
          <w:szCs w:val="20"/>
        </w:rPr>
        <w:t xml:space="preserve">ertificate of </w:t>
      </w:r>
      <w:r w:rsidR="00786A5E">
        <w:rPr>
          <w:rFonts w:ascii="Times New Roman" w:eastAsia="Times New Roman" w:hAnsi="Times New Roman" w:cs="Times New Roman"/>
          <w:bCs/>
          <w:sz w:val="24"/>
          <w:szCs w:val="20"/>
        </w:rPr>
        <w:t>c</w:t>
      </w:r>
      <w:r w:rsidR="007A54CB">
        <w:rPr>
          <w:rFonts w:ascii="Times New Roman" w:eastAsia="Times New Roman" w:hAnsi="Times New Roman" w:cs="Times New Roman"/>
          <w:bCs/>
          <w:sz w:val="24"/>
          <w:szCs w:val="20"/>
        </w:rPr>
        <w:t xml:space="preserve">onvenience and </w:t>
      </w:r>
      <w:r w:rsidR="00786A5E">
        <w:rPr>
          <w:rFonts w:ascii="Times New Roman" w:eastAsia="Times New Roman" w:hAnsi="Times New Roman" w:cs="Times New Roman"/>
          <w:bCs/>
          <w:sz w:val="24"/>
          <w:szCs w:val="20"/>
        </w:rPr>
        <w:t>n</w:t>
      </w:r>
      <w:r w:rsidR="007A54CB">
        <w:rPr>
          <w:rFonts w:ascii="Times New Roman" w:eastAsia="Times New Roman" w:hAnsi="Times New Roman" w:cs="Times New Roman"/>
          <w:bCs/>
          <w:sz w:val="24"/>
          <w:szCs w:val="20"/>
        </w:rPr>
        <w:t xml:space="preserve">ecessity (CCN) to </w:t>
      </w:r>
      <w:r>
        <w:rPr>
          <w:rFonts w:ascii="Times New Roman" w:eastAsia="Times New Roman" w:hAnsi="Times New Roman" w:cs="Times New Roman"/>
          <w:bCs/>
          <w:sz w:val="24"/>
          <w:szCs w:val="20"/>
        </w:rPr>
        <w:t>convert three steam turbine units from coal-fired generation to natural gas-fired generation.</w:t>
      </w:r>
      <w:r>
        <w:rPr>
          <w:rStyle w:val="FootnoteReference"/>
          <w:rFonts w:ascii="Times New Roman" w:eastAsia="Times New Roman" w:hAnsi="Times New Roman" w:cs="Times New Roman"/>
          <w:bCs/>
          <w:szCs w:val="20"/>
        </w:rPr>
        <w:footnoteReference w:id="1"/>
      </w:r>
      <w:r>
        <w:rPr>
          <w:rFonts w:ascii="Times New Roman" w:eastAsia="Times New Roman" w:hAnsi="Times New Roman" w:cs="Times New Roman"/>
          <w:bCs/>
          <w:sz w:val="24"/>
          <w:szCs w:val="20"/>
        </w:rPr>
        <w:t xml:space="preserve"> </w:t>
      </w:r>
      <w:r w:rsidR="002C6FB3">
        <w:rPr>
          <w:rFonts w:ascii="Times New Roman" w:eastAsia="Times New Roman" w:hAnsi="Times New Roman" w:cs="Times New Roman"/>
          <w:bCs/>
          <w:sz w:val="24"/>
          <w:szCs w:val="20"/>
        </w:rPr>
        <w:t xml:space="preserve">The Staff (Staff) of the </w:t>
      </w:r>
      <w:r w:rsidR="00216CBE">
        <w:rPr>
          <w:rFonts w:ascii="Times New Roman" w:eastAsia="Times New Roman" w:hAnsi="Times New Roman" w:cs="Times New Roman"/>
          <w:bCs/>
          <w:sz w:val="24"/>
          <w:szCs w:val="20"/>
        </w:rPr>
        <w:t xml:space="preserve">Public Utility </w:t>
      </w:r>
      <w:r w:rsidR="002C6FB3">
        <w:rPr>
          <w:rFonts w:ascii="Times New Roman" w:eastAsia="Times New Roman" w:hAnsi="Times New Roman" w:cs="Times New Roman"/>
          <w:bCs/>
          <w:sz w:val="24"/>
          <w:szCs w:val="20"/>
        </w:rPr>
        <w:t xml:space="preserve">Commission </w:t>
      </w:r>
      <w:r w:rsidR="00216CBE">
        <w:rPr>
          <w:rFonts w:ascii="Times New Roman" w:eastAsia="Times New Roman" w:hAnsi="Times New Roman" w:cs="Times New Roman"/>
          <w:bCs/>
          <w:sz w:val="24"/>
          <w:szCs w:val="20"/>
        </w:rPr>
        <w:t xml:space="preserve">of Texas (Commission) </w:t>
      </w:r>
      <w:r w:rsidR="002C6FB3">
        <w:rPr>
          <w:rFonts w:ascii="Times New Roman" w:eastAsia="Times New Roman" w:hAnsi="Times New Roman" w:cs="Times New Roman"/>
          <w:bCs/>
          <w:sz w:val="24"/>
          <w:szCs w:val="20"/>
        </w:rPr>
        <w:t xml:space="preserve">recommends approval of the </w:t>
      </w:r>
      <w:r w:rsidR="00216CBE">
        <w:rPr>
          <w:rFonts w:ascii="Times New Roman" w:eastAsia="Times New Roman" w:hAnsi="Times New Roman" w:cs="Times New Roman"/>
          <w:bCs/>
          <w:sz w:val="24"/>
          <w:szCs w:val="20"/>
        </w:rPr>
        <w:t>application</w:t>
      </w:r>
      <w:r w:rsidR="002C6FB3">
        <w:rPr>
          <w:rFonts w:ascii="Times New Roman" w:eastAsia="Times New Roman" w:hAnsi="Times New Roman" w:cs="Times New Roman"/>
          <w:bCs/>
          <w:sz w:val="24"/>
          <w:szCs w:val="20"/>
        </w:rPr>
        <w:t xml:space="preserve"> </w:t>
      </w:r>
      <w:r w:rsidR="00786A5E">
        <w:rPr>
          <w:rFonts w:ascii="Times New Roman" w:eastAsia="Times New Roman" w:hAnsi="Times New Roman" w:cs="Times New Roman"/>
          <w:bCs/>
          <w:sz w:val="24"/>
          <w:szCs w:val="20"/>
        </w:rPr>
        <w:t xml:space="preserve">with </w:t>
      </w:r>
      <w:r w:rsidR="002E2D9A">
        <w:rPr>
          <w:rFonts w:ascii="Times New Roman" w:eastAsia="Times New Roman" w:hAnsi="Times New Roman" w:cs="Times New Roman"/>
          <w:bCs/>
          <w:sz w:val="24"/>
          <w:szCs w:val="20"/>
        </w:rPr>
        <w:t xml:space="preserve">certain conditions, including </w:t>
      </w:r>
      <w:r w:rsidR="00786A5E">
        <w:rPr>
          <w:rFonts w:ascii="Times New Roman" w:eastAsia="Times New Roman" w:hAnsi="Times New Roman" w:cs="Times New Roman"/>
          <w:bCs/>
          <w:sz w:val="24"/>
          <w:szCs w:val="20"/>
        </w:rPr>
        <w:t>a cost cap and a reporting requirement</w:t>
      </w:r>
      <w:r w:rsidR="002E2D9A">
        <w:rPr>
          <w:rFonts w:ascii="Times New Roman" w:eastAsia="Times New Roman" w:hAnsi="Times New Roman" w:cs="Times New Roman"/>
          <w:bCs/>
          <w:sz w:val="24"/>
          <w:szCs w:val="20"/>
        </w:rPr>
        <w:t xml:space="preserve"> for SPS’s integrated resource plan (IRP)</w:t>
      </w:r>
      <w:r w:rsidR="00786A5E">
        <w:rPr>
          <w:rFonts w:ascii="Times New Roman" w:eastAsia="Times New Roman" w:hAnsi="Times New Roman" w:cs="Times New Roman"/>
          <w:bCs/>
          <w:sz w:val="24"/>
          <w:szCs w:val="20"/>
        </w:rPr>
        <w:t>,</w:t>
      </w:r>
      <w:r w:rsidR="002C6FB3">
        <w:rPr>
          <w:rFonts w:ascii="Times New Roman" w:eastAsia="Times New Roman" w:hAnsi="Times New Roman" w:cs="Times New Roman"/>
          <w:bCs/>
          <w:sz w:val="24"/>
          <w:szCs w:val="20"/>
        </w:rPr>
        <w:t xml:space="preserve"> as </w:t>
      </w:r>
      <w:r w:rsidR="00786A5E">
        <w:rPr>
          <w:rFonts w:ascii="Times New Roman" w:eastAsia="Times New Roman" w:hAnsi="Times New Roman" w:cs="Times New Roman"/>
          <w:bCs/>
          <w:sz w:val="24"/>
          <w:szCs w:val="20"/>
        </w:rPr>
        <w:t>explained below</w:t>
      </w:r>
      <w:r w:rsidR="002C6FB3">
        <w:rPr>
          <w:rFonts w:ascii="Times New Roman" w:eastAsia="Times New Roman" w:hAnsi="Times New Roman" w:cs="Times New Roman"/>
          <w:bCs/>
          <w:sz w:val="24"/>
          <w:szCs w:val="20"/>
        </w:rPr>
        <w:t xml:space="preserve"> in </w:t>
      </w:r>
      <w:r w:rsidR="00786A5E">
        <w:rPr>
          <w:rFonts w:ascii="Times New Roman" w:eastAsia="Times New Roman" w:hAnsi="Times New Roman" w:cs="Times New Roman"/>
          <w:bCs/>
          <w:sz w:val="24"/>
          <w:szCs w:val="20"/>
        </w:rPr>
        <w:t>s</w:t>
      </w:r>
      <w:r w:rsidR="002C6FB3">
        <w:rPr>
          <w:rFonts w:ascii="Times New Roman" w:eastAsia="Times New Roman" w:hAnsi="Times New Roman" w:cs="Times New Roman"/>
          <w:bCs/>
          <w:sz w:val="24"/>
          <w:szCs w:val="20"/>
        </w:rPr>
        <w:t>ection IV.</w:t>
      </w:r>
    </w:p>
    <w:p w14:paraId="536353F0" w14:textId="77777777" w:rsidR="00626552" w:rsidRPr="00626552" w:rsidRDefault="00626552" w:rsidP="00626552">
      <w:pPr>
        <w:spacing w:after="0" w:line="360" w:lineRule="auto"/>
        <w:ind w:firstLine="720"/>
        <w:jc w:val="both"/>
        <w:rPr>
          <w:rFonts w:ascii="Times New Roman" w:eastAsia="Times New Roman" w:hAnsi="Times New Roman" w:cs="Times New Roman"/>
          <w:sz w:val="24"/>
          <w:szCs w:val="20"/>
        </w:rPr>
      </w:pPr>
    </w:p>
    <w:p w14:paraId="2498079D" w14:textId="38C9DA23" w:rsidR="00626552" w:rsidRPr="00626552" w:rsidRDefault="00AB6337" w:rsidP="00626552">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6" w:name="_Toc34653770"/>
      <w:bookmarkStart w:id="7" w:name="_Toc103169709"/>
      <w:r>
        <w:rPr>
          <w:rFonts w:ascii="Times New Roman" w:eastAsia="Times New Roman" w:hAnsi="Times New Roman" w:cs="Times New Roman"/>
          <w:b/>
          <w:caps/>
          <w:sz w:val="24"/>
          <w:szCs w:val="24"/>
        </w:rPr>
        <w:t>SUFFICIENCY OF APPLICATION</w:t>
      </w:r>
      <w:r w:rsidR="00626552" w:rsidRPr="00626552">
        <w:rPr>
          <w:rFonts w:ascii="Times New Roman" w:eastAsia="Times New Roman" w:hAnsi="Times New Roman" w:cs="Times New Roman"/>
          <w:b/>
          <w:caps/>
          <w:sz w:val="24"/>
          <w:szCs w:val="24"/>
        </w:rPr>
        <w:t xml:space="preserve"> </w:t>
      </w:r>
      <w:r w:rsidR="00080F3F">
        <w:rPr>
          <w:rFonts w:ascii="Times New Roman" w:eastAsia="Times New Roman" w:hAnsi="Times New Roman" w:cs="Times New Roman"/>
          <w:b/>
          <w:caps/>
          <w:sz w:val="24"/>
          <w:szCs w:val="24"/>
        </w:rPr>
        <w:t xml:space="preserve">AND NOTICE </w:t>
      </w:r>
      <w:r w:rsidR="00626552" w:rsidRPr="00626552">
        <w:rPr>
          <w:rFonts w:ascii="Times New Roman" w:eastAsia="Times New Roman" w:hAnsi="Times New Roman" w:cs="Times New Roman"/>
          <w:b/>
          <w:caps/>
          <w:sz w:val="24"/>
          <w:szCs w:val="24"/>
        </w:rPr>
        <w:t>(P.O. Issue No</w:t>
      </w:r>
      <w:r>
        <w:rPr>
          <w:rFonts w:ascii="Times New Roman" w:eastAsia="Times New Roman" w:hAnsi="Times New Roman" w:cs="Times New Roman"/>
          <w:b/>
          <w:caps/>
          <w:sz w:val="24"/>
          <w:szCs w:val="24"/>
        </w:rPr>
        <w:t>S</w:t>
      </w:r>
      <w:r w:rsidR="00626552" w:rsidRPr="00626552">
        <w:rPr>
          <w:rFonts w:ascii="Times New Roman" w:eastAsia="Times New Roman" w:hAnsi="Times New Roman" w:cs="Times New Roman"/>
          <w:b/>
          <w:caps/>
          <w:sz w:val="24"/>
          <w:szCs w:val="24"/>
        </w:rPr>
        <w:t>.</w:t>
      </w:r>
      <w:r w:rsidR="00626552" w:rsidRPr="00626552">
        <w:rPr>
          <w:rFonts w:ascii="Times New Roman" w:eastAsia="Times New Roman" w:hAnsi="Times New Roman" w:cs="Times New Roman"/>
          <w:b/>
          <w:caps/>
          <w:spacing w:val="-14"/>
          <w:sz w:val="24"/>
          <w:szCs w:val="24"/>
        </w:rPr>
        <w:t xml:space="preserve"> </w:t>
      </w:r>
      <w:r>
        <w:rPr>
          <w:rFonts w:ascii="Times New Roman" w:eastAsia="Times New Roman" w:hAnsi="Times New Roman" w:cs="Times New Roman"/>
          <w:b/>
          <w:caps/>
          <w:sz w:val="24"/>
          <w:szCs w:val="24"/>
        </w:rPr>
        <w:t>1, 6, 7, 8</w:t>
      </w:r>
      <w:r w:rsidR="00626552" w:rsidRPr="00626552">
        <w:rPr>
          <w:rFonts w:ascii="Times New Roman" w:eastAsia="Times New Roman" w:hAnsi="Times New Roman" w:cs="Times New Roman"/>
          <w:b/>
          <w:caps/>
          <w:sz w:val="24"/>
          <w:szCs w:val="24"/>
        </w:rPr>
        <w:t>)</w:t>
      </w:r>
      <w:bookmarkEnd w:id="6"/>
      <w:bookmarkEnd w:id="7"/>
    </w:p>
    <w:p w14:paraId="325E9F8E" w14:textId="4D06B4F3" w:rsidR="00626552" w:rsidRDefault="00D22B99" w:rsidP="00D22B99">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Staff reviewed SPS</w:t>
      </w:r>
      <w:r w:rsidR="00927D93">
        <w:rPr>
          <w:rFonts w:ascii="Times New Roman" w:eastAsia="Times New Roman" w:hAnsi="Times New Roman" w:cs="Times New Roman"/>
          <w:sz w:val="24"/>
          <w:szCs w:val="20"/>
        </w:rPr>
        <w:t>’s</w:t>
      </w:r>
      <w:r>
        <w:rPr>
          <w:rStyle w:val="FootnoteReference"/>
          <w:rFonts w:ascii="Times New Roman" w:eastAsia="Times New Roman" w:hAnsi="Times New Roman" w:cs="Times New Roman"/>
          <w:szCs w:val="20"/>
        </w:rPr>
        <w:footnoteReference w:id="2"/>
      </w:r>
      <w:r w:rsidR="00927D93">
        <w:rPr>
          <w:rFonts w:ascii="Times New Roman" w:eastAsia="Times New Roman" w:hAnsi="Times New Roman" w:cs="Times New Roman"/>
          <w:sz w:val="24"/>
          <w:szCs w:val="20"/>
        </w:rPr>
        <w:t xml:space="preserve"> application</w:t>
      </w:r>
      <w:r>
        <w:rPr>
          <w:rFonts w:ascii="Times New Roman" w:eastAsia="Times New Roman" w:hAnsi="Times New Roman" w:cs="Times New Roman"/>
          <w:sz w:val="24"/>
          <w:szCs w:val="20"/>
        </w:rPr>
        <w:t xml:space="preserve"> </w:t>
      </w:r>
      <w:r w:rsidR="00786A5E">
        <w:rPr>
          <w:rFonts w:ascii="Times New Roman" w:eastAsia="Times New Roman" w:hAnsi="Times New Roman" w:cs="Times New Roman"/>
          <w:sz w:val="24"/>
          <w:szCs w:val="20"/>
        </w:rPr>
        <w:t xml:space="preserve">for administrative completeness </w:t>
      </w:r>
      <w:r>
        <w:rPr>
          <w:rFonts w:ascii="Times New Roman" w:eastAsia="Times New Roman" w:hAnsi="Times New Roman" w:cs="Times New Roman"/>
          <w:sz w:val="24"/>
          <w:szCs w:val="20"/>
        </w:rPr>
        <w:t>and found no material deficiencies.</w:t>
      </w:r>
      <w:r w:rsidR="0095440D">
        <w:rPr>
          <w:rFonts w:ascii="Times New Roman" w:eastAsia="Times New Roman" w:hAnsi="Times New Roman" w:cs="Times New Roman"/>
          <w:sz w:val="24"/>
          <w:szCs w:val="20"/>
        </w:rPr>
        <w:t xml:space="preserve"> The </w:t>
      </w:r>
      <w:r w:rsidR="00927D93">
        <w:rPr>
          <w:rFonts w:ascii="Times New Roman" w:eastAsia="Times New Roman" w:hAnsi="Times New Roman" w:cs="Times New Roman"/>
          <w:sz w:val="24"/>
          <w:szCs w:val="20"/>
        </w:rPr>
        <w:t xml:space="preserve">ALJ found the </w:t>
      </w:r>
      <w:r w:rsidR="0095440D">
        <w:rPr>
          <w:rFonts w:ascii="Times New Roman" w:eastAsia="Times New Roman" w:hAnsi="Times New Roman" w:cs="Times New Roman"/>
          <w:sz w:val="24"/>
          <w:szCs w:val="20"/>
        </w:rPr>
        <w:t>application sufficient in Order No, 4 on October 6, 2021.</w:t>
      </w:r>
      <w:r w:rsidR="0095440D">
        <w:rPr>
          <w:rStyle w:val="FootnoteReference"/>
          <w:rFonts w:ascii="Times New Roman" w:eastAsia="Times New Roman" w:hAnsi="Times New Roman" w:cs="Times New Roman"/>
          <w:szCs w:val="20"/>
        </w:rPr>
        <w:footnoteReference w:id="3"/>
      </w:r>
      <w:r>
        <w:rPr>
          <w:rFonts w:ascii="Times New Roman" w:eastAsia="Times New Roman" w:hAnsi="Times New Roman" w:cs="Times New Roman"/>
          <w:sz w:val="24"/>
          <w:szCs w:val="20"/>
        </w:rPr>
        <w:t xml:space="preserve"> </w:t>
      </w:r>
      <w:r w:rsidR="00002AAA">
        <w:rPr>
          <w:rFonts w:ascii="Times New Roman" w:eastAsia="Times New Roman" w:hAnsi="Times New Roman" w:cs="Times New Roman"/>
          <w:sz w:val="24"/>
          <w:szCs w:val="20"/>
        </w:rPr>
        <w:t xml:space="preserve">Further, </w:t>
      </w:r>
      <w:r w:rsidR="00927D93">
        <w:rPr>
          <w:rFonts w:ascii="Times New Roman" w:eastAsia="Times New Roman" w:hAnsi="Times New Roman" w:cs="Times New Roman"/>
          <w:sz w:val="24"/>
          <w:szCs w:val="20"/>
        </w:rPr>
        <w:t xml:space="preserve">the ALJ found </w:t>
      </w:r>
      <w:r w:rsidR="00002AAA">
        <w:rPr>
          <w:rFonts w:ascii="Times New Roman" w:eastAsia="Times New Roman" w:hAnsi="Times New Roman" w:cs="Times New Roman"/>
          <w:sz w:val="24"/>
          <w:szCs w:val="20"/>
        </w:rPr>
        <w:t>the notice sufficient</w:t>
      </w:r>
      <w:r w:rsidR="00927D93">
        <w:rPr>
          <w:rFonts w:ascii="Times New Roman" w:eastAsia="Times New Roman" w:hAnsi="Times New Roman" w:cs="Times New Roman"/>
          <w:sz w:val="24"/>
          <w:szCs w:val="20"/>
        </w:rPr>
        <w:t xml:space="preserve"> </w:t>
      </w:r>
      <w:r w:rsidR="00002AAA">
        <w:rPr>
          <w:rFonts w:ascii="Times New Roman" w:eastAsia="Times New Roman" w:hAnsi="Times New Roman" w:cs="Times New Roman"/>
          <w:sz w:val="24"/>
          <w:szCs w:val="20"/>
        </w:rPr>
        <w:t>in Order No. 7</w:t>
      </w:r>
      <w:r w:rsidR="00927D93" w:rsidRPr="00927D93">
        <w:rPr>
          <w:rFonts w:ascii="Times New Roman" w:eastAsia="Times New Roman" w:hAnsi="Times New Roman" w:cs="Times New Roman"/>
          <w:sz w:val="24"/>
          <w:szCs w:val="20"/>
        </w:rPr>
        <w:t xml:space="preserve"> </w:t>
      </w:r>
      <w:r w:rsidR="00927D93">
        <w:rPr>
          <w:rFonts w:ascii="Times New Roman" w:eastAsia="Times New Roman" w:hAnsi="Times New Roman" w:cs="Times New Roman"/>
          <w:sz w:val="24"/>
          <w:szCs w:val="20"/>
        </w:rPr>
        <w:t>on November 29, 2021</w:t>
      </w:r>
      <w:r w:rsidR="004D2D3F">
        <w:rPr>
          <w:rFonts w:ascii="Times New Roman" w:eastAsia="Times New Roman" w:hAnsi="Times New Roman" w:cs="Times New Roman"/>
          <w:sz w:val="24"/>
          <w:szCs w:val="20"/>
        </w:rPr>
        <w:t>.</w:t>
      </w:r>
      <w:r w:rsidR="0095440D">
        <w:rPr>
          <w:rStyle w:val="FootnoteReference"/>
          <w:rFonts w:ascii="Times New Roman" w:eastAsia="Times New Roman" w:hAnsi="Times New Roman" w:cs="Times New Roman"/>
          <w:szCs w:val="20"/>
        </w:rPr>
        <w:footnoteReference w:id="4"/>
      </w:r>
      <w:r w:rsidR="004D2D3F">
        <w:rPr>
          <w:rFonts w:ascii="Times New Roman" w:eastAsia="Times New Roman" w:hAnsi="Times New Roman" w:cs="Times New Roman"/>
          <w:sz w:val="24"/>
          <w:szCs w:val="20"/>
        </w:rPr>
        <w:t xml:space="preserve"> Therefore, Staff recommends that the application and notice </w:t>
      </w:r>
      <w:r w:rsidR="00927D93">
        <w:rPr>
          <w:rFonts w:ascii="Times New Roman" w:eastAsia="Times New Roman" w:hAnsi="Times New Roman" w:cs="Times New Roman"/>
          <w:sz w:val="24"/>
          <w:szCs w:val="20"/>
        </w:rPr>
        <w:t>be deemed</w:t>
      </w:r>
      <w:r w:rsidR="004D2D3F">
        <w:rPr>
          <w:rFonts w:ascii="Times New Roman" w:eastAsia="Times New Roman" w:hAnsi="Times New Roman" w:cs="Times New Roman"/>
          <w:sz w:val="24"/>
          <w:szCs w:val="20"/>
        </w:rPr>
        <w:t xml:space="preserve"> sufficient. </w:t>
      </w:r>
    </w:p>
    <w:p w14:paraId="1FE95EAE" w14:textId="77777777" w:rsidR="00741965" w:rsidRPr="00626552" w:rsidRDefault="00741965" w:rsidP="00D22B99">
      <w:pPr>
        <w:spacing w:after="0" w:line="360" w:lineRule="auto"/>
        <w:ind w:firstLine="720"/>
        <w:jc w:val="both"/>
        <w:rPr>
          <w:rFonts w:ascii="Times New Roman" w:eastAsia="Times New Roman" w:hAnsi="Times New Roman" w:cs="Times New Roman"/>
          <w:sz w:val="24"/>
          <w:szCs w:val="20"/>
        </w:rPr>
      </w:pPr>
    </w:p>
    <w:p w14:paraId="731BE253" w14:textId="2407EC79" w:rsidR="00626552" w:rsidRDefault="00AB6337" w:rsidP="00626552">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8" w:name="_Toc34653771"/>
      <w:bookmarkStart w:id="9" w:name="_Toc103169710"/>
      <w:r>
        <w:rPr>
          <w:rFonts w:ascii="Times New Roman" w:eastAsia="Times New Roman" w:hAnsi="Times New Roman" w:cs="Times New Roman"/>
          <w:b/>
          <w:caps/>
          <w:sz w:val="24"/>
          <w:szCs w:val="24"/>
        </w:rPr>
        <w:lastRenderedPageBreak/>
        <w:t>Effect of Approval UNDER PURA 37.056(C)</w:t>
      </w:r>
      <w:r w:rsidR="00626552" w:rsidRPr="00626552">
        <w:rPr>
          <w:rFonts w:ascii="Times New Roman" w:eastAsia="Times New Roman" w:hAnsi="Times New Roman" w:cs="Times New Roman"/>
          <w:b/>
          <w:caps/>
          <w:sz w:val="24"/>
          <w:szCs w:val="24"/>
        </w:rPr>
        <w:t xml:space="preserve"> (P.O. Issue Nos. </w:t>
      </w:r>
      <w:r>
        <w:rPr>
          <w:rFonts w:ascii="Times New Roman" w:eastAsia="Times New Roman" w:hAnsi="Times New Roman" w:cs="Times New Roman"/>
          <w:b/>
          <w:caps/>
          <w:sz w:val="24"/>
          <w:szCs w:val="24"/>
        </w:rPr>
        <w:t>3, 4, 5, 9, 10, 11, 12, 13, 14, 15, 16, 17, 18, 19, 20, 21, 22</w:t>
      </w:r>
      <w:r w:rsidR="00626552" w:rsidRPr="00626552">
        <w:rPr>
          <w:rFonts w:ascii="Times New Roman" w:eastAsia="Times New Roman" w:hAnsi="Times New Roman" w:cs="Times New Roman"/>
          <w:b/>
          <w:caps/>
          <w:sz w:val="24"/>
          <w:szCs w:val="24"/>
        </w:rPr>
        <w:t>)</w:t>
      </w:r>
      <w:bookmarkEnd w:id="8"/>
      <w:bookmarkEnd w:id="9"/>
    </w:p>
    <w:p w14:paraId="5F0797CD" w14:textId="113240C5" w:rsidR="00741965" w:rsidRPr="00741965" w:rsidRDefault="00741965" w:rsidP="00741965">
      <w:pPr>
        <w:pStyle w:val="ListParagraph"/>
        <w:keepNext/>
        <w:numPr>
          <w:ilvl w:val="0"/>
          <w:numId w:val="33"/>
        </w:numPr>
        <w:spacing w:after="120"/>
        <w:outlineLvl w:val="0"/>
        <w:rPr>
          <w:b/>
          <w:caps/>
          <w:sz w:val="24"/>
          <w:szCs w:val="24"/>
        </w:rPr>
      </w:pPr>
      <w:bookmarkStart w:id="10" w:name="_Toc103169711"/>
      <w:bookmarkStart w:id="11" w:name="_Hlk102664096"/>
      <w:r>
        <w:rPr>
          <w:b/>
          <w:sz w:val="24"/>
          <w:szCs w:val="24"/>
        </w:rPr>
        <w:t>Project Description and Costs</w:t>
      </w:r>
      <w:bookmarkEnd w:id="10"/>
      <w:r>
        <w:rPr>
          <w:b/>
          <w:sz w:val="24"/>
          <w:szCs w:val="24"/>
        </w:rPr>
        <w:t xml:space="preserve"> </w:t>
      </w:r>
    </w:p>
    <w:p w14:paraId="69889F12" w14:textId="00F3C52E" w:rsidR="00D90C1F" w:rsidRDefault="00741965" w:rsidP="00D90C1F">
      <w:pPr>
        <w:keepNext/>
        <w:spacing w:after="120" w:line="360" w:lineRule="auto"/>
        <w:ind w:firstLine="720"/>
        <w:jc w:val="both"/>
        <w:outlineLvl w:val="0"/>
        <w:rPr>
          <w:rFonts w:ascii="Times New Roman" w:eastAsia="Times New Roman" w:hAnsi="Times New Roman" w:cs="Times New Roman"/>
          <w:bCs/>
          <w:sz w:val="24"/>
          <w:szCs w:val="24"/>
        </w:rPr>
      </w:pPr>
      <w:bookmarkStart w:id="12" w:name="_Toc103169712"/>
      <w:bookmarkEnd w:id="11"/>
      <w:r>
        <w:rPr>
          <w:rFonts w:ascii="Times New Roman" w:eastAsia="Times New Roman" w:hAnsi="Times New Roman" w:cs="Times New Roman"/>
          <w:bCs/>
          <w:caps/>
          <w:sz w:val="24"/>
          <w:szCs w:val="24"/>
        </w:rPr>
        <w:t>SPS</w:t>
      </w:r>
      <w:r>
        <w:rPr>
          <w:rFonts w:ascii="Times New Roman" w:eastAsia="Times New Roman" w:hAnsi="Times New Roman" w:cs="Times New Roman"/>
          <w:bCs/>
          <w:sz w:val="24"/>
          <w:szCs w:val="24"/>
        </w:rPr>
        <w:t xml:space="preserve"> </w:t>
      </w:r>
      <w:r w:rsidR="00216CBE">
        <w:rPr>
          <w:rFonts w:ascii="Times New Roman" w:eastAsia="Times New Roman" w:hAnsi="Times New Roman" w:cs="Times New Roman"/>
          <w:bCs/>
          <w:sz w:val="24"/>
          <w:szCs w:val="24"/>
        </w:rPr>
        <w:t xml:space="preserve">requests approval </w:t>
      </w:r>
      <w:r>
        <w:rPr>
          <w:rFonts w:ascii="Times New Roman" w:eastAsia="Times New Roman" w:hAnsi="Times New Roman" w:cs="Times New Roman"/>
          <w:bCs/>
          <w:sz w:val="24"/>
          <w:szCs w:val="24"/>
        </w:rPr>
        <w:t>to convert three coal-fired generation units to natural-gas fired generation</w:t>
      </w:r>
      <w:r w:rsidR="00216CBE" w:rsidRPr="00216CBE">
        <w:rPr>
          <w:rFonts w:ascii="Times New Roman" w:eastAsia="Times New Roman" w:hAnsi="Times New Roman" w:cs="Times New Roman"/>
          <w:bCs/>
          <w:sz w:val="24"/>
          <w:szCs w:val="20"/>
        </w:rPr>
        <w:t xml:space="preserve"> </w:t>
      </w:r>
      <w:r w:rsidR="00216CBE">
        <w:rPr>
          <w:rFonts w:ascii="Times New Roman" w:eastAsia="Times New Roman" w:hAnsi="Times New Roman" w:cs="Times New Roman"/>
          <w:bCs/>
          <w:sz w:val="24"/>
          <w:szCs w:val="20"/>
        </w:rPr>
        <w:t>at the Harrington Power Station</w:t>
      </w:r>
      <w:r w:rsidR="0046764B">
        <w:rPr>
          <w:rFonts w:ascii="Times New Roman" w:eastAsia="Times New Roman" w:hAnsi="Times New Roman" w:cs="Times New Roman"/>
          <w:bCs/>
          <w:sz w:val="24"/>
          <w:szCs w:val="20"/>
        </w:rPr>
        <w:t>,</w:t>
      </w:r>
      <w:r w:rsidR="00216CBE" w:rsidRPr="00216CBE">
        <w:rPr>
          <w:rFonts w:ascii="Times New Roman" w:eastAsia="Times New Roman" w:hAnsi="Times New Roman" w:cs="Times New Roman"/>
          <w:bCs/>
          <w:sz w:val="24"/>
          <w:szCs w:val="24"/>
        </w:rPr>
        <w:t xml:space="preserve"> </w:t>
      </w:r>
      <w:r w:rsidR="00216CBE">
        <w:rPr>
          <w:rFonts w:ascii="Times New Roman" w:eastAsia="Times New Roman" w:hAnsi="Times New Roman" w:cs="Times New Roman"/>
          <w:bCs/>
          <w:sz w:val="24"/>
          <w:szCs w:val="24"/>
        </w:rPr>
        <w:t>located north of Amarillo</w:t>
      </w:r>
      <w:r>
        <w:rPr>
          <w:rFonts w:ascii="Times New Roman" w:eastAsia="Times New Roman" w:hAnsi="Times New Roman" w:cs="Times New Roman"/>
          <w:bCs/>
          <w:sz w:val="24"/>
          <w:szCs w:val="24"/>
        </w:rPr>
        <w:t>.</w:t>
      </w:r>
      <w:r w:rsidR="006052D6">
        <w:rPr>
          <w:rFonts w:ascii="Times New Roman" w:eastAsia="Times New Roman" w:hAnsi="Times New Roman" w:cs="Times New Roman"/>
          <w:bCs/>
          <w:sz w:val="24"/>
          <w:szCs w:val="24"/>
        </w:rPr>
        <w:t xml:space="preserve"> The total capacity of the three units is </w:t>
      </w:r>
      <w:r w:rsidR="00080F3F">
        <w:rPr>
          <w:rFonts w:ascii="Times New Roman" w:eastAsia="Times New Roman" w:hAnsi="Times New Roman" w:cs="Times New Roman"/>
          <w:bCs/>
          <w:sz w:val="24"/>
          <w:szCs w:val="24"/>
        </w:rPr>
        <w:t xml:space="preserve">currently </w:t>
      </w:r>
      <w:r w:rsidR="006052D6">
        <w:rPr>
          <w:rFonts w:ascii="Times New Roman" w:eastAsia="Times New Roman" w:hAnsi="Times New Roman" w:cs="Times New Roman"/>
          <w:bCs/>
          <w:sz w:val="24"/>
          <w:szCs w:val="24"/>
        </w:rPr>
        <w:t xml:space="preserve">1,050 </w:t>
      </w:r>
      <w:r w:rsidR="0046764B">
        <w:rPr>
          <w:rFonts w:ascii="Times New Roman" w:eastAsia="Times New Roman" w:hAnsi="Times New Roman" w:cs="Times New Roman"/>
          <w:bCs/>
          <w:sz w:val="24"/>
          <w:szCs w:val="24"/>
        </w:rPr>
        <w:t>megawatts (</w:t>
      </w:r>
      <w:r w:rsidR="006052D6">
        <w:rPr>
          <w:rFonts w:ascii="Times New Roman" w:eastAsia="Times New Roman" w:hAnsi="Times New Roman" w:cs="Times New Roman"/>
          <w:bCs/>
          <w:sz w:val="24"/>
          <w:szCs w:val="24"/>
        </w:rPr>
        <w:t>MW</w:t>
      </w:r>
      <w:r w:rsidR="0046764B">
        <w:rPr>
          <w:rFonts w:ascii="Times New Roman" w:eastAsia="Times New Roman" w:hAnsi="Times New Roman" w:cs="Times New Roman"/>
          <w:bCs/>
          <w:sz w:val="24"/>
          <w:szCs w:val="24"/>
        </w:rPr>
        <w:t>)</w:t>
      </w:r>
      <w:r w:rsidR="00216CBE">
        <w:rPr>
          <w:rFonts w:ascii="Times New Roman" w:eastAsia="Times New Roman" w:hAnsi="Times New Roman" w:cs="Times New Roman"/>
          <w:bCs/>
          <w:sz w:val="24"/>
          <w:szCs w:val="24"/>
        </w:rPr>
        <w:t>,</w:t>
      </w:r>
      <w:r w:rsidR="006052D6">
        <w:rPr>
          <w:rFonts w:ascii="Times New Roman" w:eastAsia="Times New Roman" w:hAnsi="Times New Roman" w:cs="Times New Roman"/>
          <w:bCs/>
          <w:sz w:val="24"/>
          <w:szCs w:val="24"/>
        </w:rPr>
        <w:t xml:space="preserve"> which would not change with conversion of the units.</w:t>
      </w:r>
      <w:r w:rsidR="006052D6">
        <w:rPr>
          <w:rStyle w:val="FootnoteReference"/>
          <w:rFonts w:ascii="Times New Roman" w:eastAsia="Times New Roman" w:hAnsi="Times New Roman" w:cs="Times New Roman"/>
          <w:bCs/>
          <w:szCs w:val="24"/>
        </w:rPr>
        <w:footnoteReference w:id="5"/>
      </w:r>
      <w:r w:rsidR="006052D6">
        <w:rPr>
          <w:rFonts w:ascii="Times New Roman" w:eastAsia="Times New Roman" w:hAnsi="Times New Roman" w:cs="Times New Roman"/>
          <w:bCs/>
          <w:sz w:val="24"/>
          <w:szCs w:val="24"/>
        </w:rPr>
        <w:t xml:space="preserve"> </w:t>
      </w:r>
      <w:r w:rsidR="002821E1">
        <w:rPr>
          <w:rFonts w:ascii="Times New Roman" w:eastAsia="Times New Roman" w:hAnsi="Times New Roman" w:cs="Times New Roman"/>
          <w:bCs/>
          <w:sz w:val="24"/>
          <w:szCs w:val="24"/>
        </w:rPr>
        <w:t>Harrington Unit 1 has a net capacity of 340 MW</w:t>
      </w:r>
      <w:r w:rsidR="00927D93">
        <w:rPr>
          <w:rFonts w:ascii="Times New Roman" w:eastAsia="Times New Roman" w:hAnsi="Times New Roman" w:cs="Times New Roman"/>
          <w:bCs/>
          <w:sz w:val="24"/>
          <w:szCs w:val="24"/>
        </w:rPr>
        <w:t>;</w:t>
      </w:r>
      <w:r w:rsidR="002821E1">
        <w:rPr>
          <w:rFonts w:ascii="Times New Roman" w:eastAsia="Times New Roman" w:hAnsi="Times New Roman" w:cs="Times New Roman"/>
          <w:bCs/>
          <w:sz w:val="24"/>
          <w:szCs w:val="24"/>
        </w:rPr>
        <w:t xml:space="preserve"> Harrington Unit 2 has a net capacity of 355 MW</w:t>
      </w:r>
      <w:r w:rsidR="00927D93">
        <w:rPr>
          <w:rFonts w:ascii="Times New Roman" w:eastAsia="Times New Roman" w:hAnsi="Times New Roman" w:cs="Times New Roman"/>
          <w:bCs/>
          <w:sz w:val="24"/>
          <w:szCs w:val="24"/>
        </w:rPr>
        <w:t>;</w:t>
      </w:r>
      <w:r w:rsidR="002821E1">
        <w:rPr>
          <w:rFonts w:ascii="Times New Roman" w:eastAsia="Times New Roman" w:hAnsi="Times New Roman" w:cs="Times New Roman"/>
          <w:bCs/>
          <w:sz w:val="24"/>
          <w:szCs w:val="24"/>
        </w:rPr>
        <w:t xml:space="preserve"> and Harrington Unit 3 has a net capacity of 355 MW.</w:t>
      </w:r>
      <w:r w:rsidR="002821E1">
        <w:rPr>
          <w:rStyle w:val="FootnoteReference"/>
          <w:rFonts w:ascii="Times New Roman" w:eastAsia="Times New Roman" w:hAnsi="Times New Roman" w:cs="Times New Roman"/>
          <w:bCs/>
          <w:szCs w:val="24"/>
        </w:rPr>
        <w:footnoteReference w:id="6"/>
      </w:r>
      <w:r w:rsidR="002821E1">
        <w:rPr>
          <w:rFonts w:ascii="Times New Roman" w:eastAsia="Times New Roman" w:hAnsi="Times New Roman" w:cs="Times New Roman"/>
          <w:bCs/>
          <w:sz w:val="24"/>
          <w:szCs w:val="24"/>
        </w:rPr>
        <w:t xml:space="preserve"> </w:t>
      </w:r>
      <w:r w:rsidR="0046764B">
        <w:rPr>
          <w:rFonts w:ascii="Times New Roman" w:eastAsia="Times New Roman" w:hAnsi="Times New Roman" w:cs="Times New Roman"/>
          <w:bCs/>
          <w:sz w:val="24"/>
          <w:szCs w:val="24"/>
        </w:rPr>
        <w:t>A</w:t>
      </w:r>
      <w:r w:rsidR="006F173F">
        <w:rPr>
          <w:rFonts w:ascii="Times New Roman" w:eastAsia="Times New Roman" w:hAnsi="Times New Roman" w:cs="Times New Roman"/>
          <w:bCs/>
          <w:sz w:val="24"/>
          <w:szCs w:val="24"/>
        </w:rPr>
        <w:t>ccording to SPS,</w:t>
      </w:r>
      <w:r w:rsidR="002821E1">
        <w:rPr>
          <w:rFonts w:ascii="Times New Roman" w:eastAsia="Times New Roman" w:hAnsi="Times New Roman" w:cs="Times New Roman"/>
          <w:bCs/>
          <w:sz w:val="24"/>
          <w:szCs w:val="24"/>
        </w:rPr>
        <w:t xml:space="preserve"> </w:t>
      </w:r>
      <w:r w:rsidR="006F173F">
        <w:rPr>
          <w:rFonts w:ascii="Times New Roman" w:eastAsia="Times New Roman" w:hAnsi="Times New Roman" w:cs="Times New Roman"/>
          <w:bCs/>
          <w:sz w:val="24"/>
          <w:szCs w:val="24"/>
        </w:rPr>
        <w:t xml:space="preserve">federal emission standards will prohibit SPS from operating the Harrington </w:t>
      </w:r>
      <w:r w:rsidR="00786A5E">
        <w:rPr>
          <w:rFonts w:ascii="Times New Roman" w:eastAsia="Times New Roman" w:hAnsi="Times New Roman" w:cs="Times New Roman"/>
          <w:bCs/>
          <w:sz w:val="24"/>
          <w:szCs w:val="24"/>
        </w:rPr>
        <w:t>u</w:t>
      </w:r>
      <w:r w:rsidR="006F173F">
        <w:rPr>
          <w:rFonts w:ascii="Times New Roman" w:eastAsia="Times New Roman" w:hAnsi="Times New Roman" w:cs="Times New Roman"/>
          <w:bCs/>
          <w:sz w:val="24"/>
          <w:szCs w:val="24"/>
        </w:rPr>
        <w:t xml:space="preserve">nits as a coal-fired generating asset after </w:t>
      </w:r>
      <w:r w:rsidR="00720413">
        <w:rPr>
          <w:rFonts w:ascii="Times New Roman" w:eastAsia="Times New Roman" w:hAnsi="Times New Roman" w:cs="Times New Roman"/>
          <w:bCs/>
          <w:sz w:val="24"/>
          <w:szCs w:val="24"/>
        </w:rPr>
        <w:t xml:space="preserve">January </w:t>
      </w:r>
      <w:r w:rsidR="00AD347F">
        <w:rPr>
          <w:rFonts w:ascii="Times New Roman" w:eastAsia="Times New Roman" w:hAnsi="Times New Roman" w:cs="Times New Roman"/>
          <w:bCs/>
          <w:sz w:val="24"/>
          <w:szCs w:val="24"/>
        </w:rPr>
        <w:t>1, 202</w:t>
      </w:r>
      <w:r w:rsidR="00720413">
        <w:rPr>
          <w:rFonts w:ascii="Times New Roman" w:eastAsia="Times New Roman" w:hAnsi="Times New Roman" w:cs="Times New Roman"/>
          <w:bCs/>
          <w:sz w:val="24"/>
          <w:szCs w:val="24"/>
        </w:rPr>
        <w:t>5</w:t>
      </w:r>
      <w:r w:rsidR="006F173F">
        <w:rPr>
          <w:rFonts w:ascii="Times New Roman" w:eastAsia="Times New Roman" w:hAnsi="Times New Roman" w:cs="Times New Roman"/>
          <w:bCs/>
          <w:sz w:val="24"/>
          <w:szCs w:val="24"/>
        </w:rPr>
        <w:t>.</w:t>
      </w:r>
      <w:r w:rsidR="006F173F">
        <w:rPr>
          <w:rStyle w:val="FootnoteReference"/>
          <w:rFonts w:ascii="Times New Roman" w:eastAsia="Times New Roman" w:hAnsi="Times New Roman" w:cs="Times New Roman"/>
          <w:bCs/>
          <w:szCs w:val="24"/>
        </w:rPr>
        <w:footnoteReference w:id="7"/>
      </w:r>
      <w:r w:rsidR="006F173F">
        <w:rPr>
          <w:rFonts w:ascii="Times New Roman" w:eastAsia="Times New Roman" w:hAnsi="Times New Roman" w:cs="Times New Roman"/>
          <w:bCs/>
          <w:sz w:val="24"/>
          <w:szCs w:val="24"/>
        </w:rPr>
        <w:t xml:space="preserve"> Further, SPS filed a plan to comply with those federal emission standards </w:t>
      </w:r>
      <w:r w:rsidR="0046764B">
        <w:rPr>
          <w:rFonts w:ascii="Times New Roman" w:eastAsia="Times New Roman" w:hAnsi="Times New Roman" w:cs="Times New Roman"/>
          <w:bCs/>
          <w:sz w:val="24"/>
          <w:szCs w:val="24"/>
        </w:rPr>
        <w:t>with</w:t>
      </w:r>
      <w:r w:rsidR="006F173F">
        <w:rPr>
          <w:rFonts w:ascii="Times New Roman" w:eastAsia="Times New Roman" w:hAnsi="Times New Roman" w:cs="Times New Roman"/>
          <w:bCs/>
          <w:sz w:val="24"/>
          <w:szCs w:val="24"/>
        </w:rPr>
        <w:t xml:space="preserve"> the Texas Commission on Environmental Quality (TCEQ)</w:t>
      </w:r>
      <w:r w:rsidR="00927D93">
        <w:rPr>
          <w:rFonts w:ascii="Times New Roman" w:eastAsia="Times New Roman" w:hAnsi="Times New Roman" w:cs="Times New Roman"/>
          <w:bCs/>
          <w:sz w:val="24"/>
          <w:szCs w:val="24"/>
        </w:rPr>
        <w:t>.</w:t>
      </w:r>
      <w:r w:rsidR="006F173F">
        <w:rPr>
          <w:rFonts w:ascii="Times New Roman" w:eastAsia="Times New Roman" w:hAnsi="Times New Roman" w:cs="Times New Roman"/>
          <w:bCs/>
          <w:sz w:val="24"/>
          <w:szCs w:val="24"/>
        </w:rPr>
        <w:t xml:space="preserve"> </w:t>
      </w:r>
      <w:r w:rsidR="00927D93">
        <w:rPr>
          <w:rFonts w:ascii="Times New Roman" w:eastAsia="Times New Roman" w:hAnsi="Times New Roman" w:cs="Times New Roman"/>
          <w:bCs/>
          <w:sz w:val="24"/>
          <w:szCs w:val="24"/>
        </w:rPr>
        <w:t>A</w:t>
      </w:r>
      <w:r w:rsidR="006F173F">
        <w:rPr>
          <w:rFonts w:ascii="Times New Roman" w:eastAsia="Times New Roman" w:hAnsi="Times New Roman" w:cs="Times New Roman"/>
          <w:bCs/>
          <w:sz w:val="24"/>
          <w:szCs w:val="24"/>
        </w:rPr>
        <w:t xml:space="preserve">n </w:t>
      </w:r>
      <w:r w:rsidR="0046764B">
        <w:rPr>
          <w:rFonts w:ascii="Times New Roman" w:eastAsia="Times New Roman" w:hAnsi="Times New Roman" w:cs="Times New Roman"/>
          <w:bCs/>
          <w:sz w:val="24"/>
          <w:szCs w:val="24"/>
        </w:rPr>
        <w:t>a</w:t>
      </w:r>
      <w:r w:rsidR="006F173F">
        <w:rPr>
          <w:rFonts w:ascii="Times New Roman" w:eastAsia="Times New Roman" w:hAnsi="Times New Roman" w:cs="Times New Roman"/>
          <w:bCs/>
          <w:sz w:val="24"/>
          <w:szCs w:val="24"/>
        </w:rPr>
        <w:t xml:space="preserve">greed </w:t>
      </w:r>
      <w:r w:rsidR="0046764B">
        <w:rPr>
          <w:rFonts w:ascii="Times New Roman" w:eastAsia="Times New Roman" w:hAnsi="Times New Roman" w:cs="Times New Roman"/>
          <w:bCs/>
          <w:sz w:val="24"/>
          <w:szCs w:val="24"/>
        </w:rPr>
        <w:t>o</w:t>
      </w:r>
      <w:r w:rsidR="006F173F">
        <w:rPr>
          <w:rFonts w:ascii="Times New Roman" w:eastAsia="Times New Roman" w:hAnsi="Times New Roman" w:cs="Times New Roman"/>
          <w:bCs/>
          <w:sz w:val="24"/>
          <w:szCs w:val="24"/>
        </w:rPr>
        <w:t xml:space="preserve">rder was entered </w:t>
      </w:r>
      <w:r w:rsidR="00786A5E">
        <w:rPr>
          <w:rFonts w:ascii="Times New Roman" w:eastAsia="Times New Roman" w:hAnsi="Times New Roman" w:cs="Times New Roman"/>
          <w:bCs/>
          <w:sz w:val="24"/>
          <w:szCs w:val="24"/>
        </w:rPr>
        <w:t>by</w:t>
      </w:r>
      <w:r w:rsidR="006F173F">
        <w:rPr>
          <w:rFonts w:ascii="Times New Roman" w:eastAsia="Times New Roman" w:hAnsi="Times New Roman" w:cs="Times New Roman"/>
          <w:bCs/>
          <w:sz w:val="24"/>
          <w:szCs w:val="24"/>
        </w:rPr>
        <w:t xml:space="preserve"> TCEQ in October of 2020</w:t>
      </w:r>
      <w:r w:rsidR="00927D93">
        <w:rPr>
          <w:rFonts w:ascii="Times New Roman" w:eastAsia="Times New Roman" w:hAnsi="Times New Roman" w:cs="Times New Roman"/>
          <w:bCs/>
          <w:sz w:val="24"/>
          <w:szCs w:val="24"/>
        </w:rPr>
        <w:t xml:space="preserve">, </w:t>
      </w:r>
      <w:r w:rsidR="006D7058">
        <w:rPr>
          <w:rFonts w:ascii="Times New Roman" w:eastAsia="Times New Roman" w:hAnsi="Times New Roman" w:cs="Times New Roman"/>
          <w:bCs/>
          <w:sz w:val="24"/>
          <w:szCs w:val="24"/>
        </w:rPr>
        <w:t>requir</w:t>
      </w:r>
      <w:r w:rsidR="00927D93">
        <w:rPr>
          <w:rFonts w:ascii="Times New Roman" w:eastAsia="Times New Roman" w:hAnsi="Times New Roman" w:cs="Times New Roman"/>
          <w:bCs/>
          <w:sz w:val="24"/>
          <w:szCs w:val="24"/>
        </w:rPr>
        <w:t>ing</w:t>
      </w:r>
      <w:r w:rsidR="006D7058">
        <w:rPr>
          <w:rFonts w:ascii="Times New Roman" w:eastAsia="Times New Roman" w:hAnsi="Times New Roman" w:cs="Times New Roman"/>
          <w:bCs/>
          <w:sz w:val="24"/>
          <w:szCs w:val="24"/>
        </w:rPr>
        <w:t xml:space="preserve"> SPS to </w:t>
      </w:r>
      <w:r w:rsidR="008953AC">
        <w:rPr>
          <w:rFonts w:ascii="Times New Roman" w:eastAsia="Times New Roman" w:hAnsi="Times New Roman" w:cs="Times New Roman"/>
          <w:bCs/>
          <w:sz w:val="24"/>
          <w:szCs w:val="24"/>
        </w:rPr>
        <w:t>cease coal operations</w:t>
      </w:r>
      <w:r w:rsidR="00786A5E">
        <w:rPr>
          <w:rFonts w:ascii="Times New Roman" w:eastAsia="Times New Roman" w:hAnsi="Times New Roman" w:cs="Times New Roman"/>
          <w:bCs/>
          <w:sz w:val="24"/>
          <w:szCs w:val="24"/>
        </w:rPr>
        <w:t xml:space="preserve"> </w:t>
      </w:r>
      <w:r w:rsidR="006D7058">
        <w:rPr>
          <w:rFonts w:ascii="Times New Roman" w:eastAsia="Times New Roman" w:hAnsi="Times New Roman" w:cs="Times New Roman"/>
          <w:bCs/>
          <w:sz w:val="24"/>
          <w:szCs w:val="24"/>
        </w:rPr>
        <w:t>by January 1, 2025</w:t>
      </w:r>
      <w:r w:rsidR="006F173F">
        <w:rPr>
          <w:rFonts w:ascii="Times New Roman" w:eastAsia="Times New Roman" w:hAnsi="Times New Roman" w:cs="Times New Roman"/>
          <w:bCs/>
          <w:sz w:val="24"/>
          <w:szCs w:val="24"/>
        </w:rPr>
        <w:t>.</w:t>
      </w:r>
      <w:r w:rsidR="006F173F">
        <w:rPr>
          <w:rStyle w:val="FootnoteReference"/>
          <w:rFonts w:ascii="Times New Roman" w:eastAsia="Times New Roman" w:hAnsi="Times New Roman" w:cs="Times New Roman"/>
          <w:bCs/>
          <w:szCs w:val="24"/>
        </w:rPr>
        <w:footnoteReference w:id="8"/>
      </w:r>
      <w:r w:rsidR="006F173F">
        <w:rPr>
          <w:rFonts w:ascii="Times New Roman" w:eastAsia="Times New Roman" w:hAnsi="Times New Roman" w:cs="Times New Roman"/>
          <w:bCs/>
          <w:sz w:val="24"/>
          <w:szCs w:val="24"/>
        </w:rPr>
        <w:t xml:space="preserve"> </w:t>
      </w:r>
      <w:r w:rsidR="0046764B">
        <w:rPr>
          <w:rFonts w:ascii="Times New Roman" w:eastAsia="Times New Roman" w:hAnsi="Times New Roman" w:cs="Times New Roman"/>
          <w:bCs/>
          <w:sz w:val="24"/>
          <w:szCs w:val="24"/>
        </w:rPr>
        <w:t>SPS estimated that t</w:t>
      </w:r>
      <w:r w:rsidR="00D90C1F">
        <w:rPr>
          <w:rFonts w:ascii="Times New Roman" w:eastAsia="Times New Roman" w:hAnsi="Times New Roman" w:cs="Times New Roman"/>
          <w:bCs/>
          <w:sz w:val="24"/>
          <w:szCs w:val="24"/>
        </w:rPr>
        <w:t>he total cost of the project will be between $65 and $75 million</w:t>
      </w:r>
      <w:r w:rsidR="00927D93">
        <w:rPr>
          <w:rFonts w:ascii="Times New Roman" w:eastAsia="Times New Roman" w:hAnsi="Times New Roman" w:cs="Times New Roman"/>
          <w:bCs/>
          <w:sz w:val="24"/>
          <w:szCs w:val="24"/>
        </w:rPr>
        <w:t>;</w:t>
      </w:r>
      <w:r w:rsidR="00D90C1F">
        <w:rPr>
          <w:rStyle w:val="FootnoteReference"/>
          <w:rFonts w:ascii="Times New Roman" w:eastAsia="Times New Roman" w:hAnsi="Times New Roman" w:cs="Times New Roman"/>
          <w:bCs/>
          <w:szCs w:val="24"/>
        </w:rPr>
        <w:footnoteReference w:id="9"/>
      </w:r>
      <w:r w:rsidR="00927D93">
        <w:rPr>
          <w:rFonts w:ascii="Times New Roman" w:eastAsia="Times New Roman" w:hAnsi="Times New Roman" w:cs="Times New Roman"/>
          <w:bCs/>
          <w:sz w:val="24"/>
          <w:szCs w:val="24"/>
        </w:rPr>
        <w:t xml:space="preserve"> </w:t>
      </w:r>
      <w:r w:rsidR="0046764B">
        <w:rPr>
          <w:rFonts w:ascii="Times New Roman" w:eastAsia="Times New Roman" w:hAnsi="Times New Roman" w:cs="Times New Roman"/>
          <w:bCs/>
          <w:sz w:val="24"/>
          <w:szCs w:val="24"/>
        </w:rPr>
        <w:t>t</w:t>
      </w:r>
      <w:r w:rsidR="00D90C1F">
        <w:rPr>
          <w:rFonts w:ascii="Times New Roman" w:eastAsia="Times New Roman" w:hAnsi="Times New Roman" w:cs="Times New Roman"/>
          <w:bCs/>
          <w:sz w:val="24"/>
          <w:szCs w:val="24"/>
        </w:rPr>
        <w:t>he Texas jurisdictional portion of those costs will be between $45 and $52 million.</w:t>
      </w:r>
      <w:r w:rsidR="00D90C1F">
        <w:rPr>
          <w:rStyle w:val="FootnoteReference"/>
          <w:rFonts w:ascii="Times New Roman" w:eastAsia="Times New Roman" w:hAnsi="Times New Roman" w:cs="Times New Roman"/>
          <w:bCs/>
          <w:szCs w:val="24"/>
        </w:rPr>
        <w:footnoteReference w:id="10"/>
      </w:r>
      <w:bookmarkEnd w:id="12"/>
    </w:p>
    <w:p w14:paraId="773C49B7" w14:textId="25F928A8" w:rsidR="00D90C1F" w:rsidRPr="00D90C1F" w:rsidRDefault="00D90C1F" w:rsidP="00D90C1F">
      <w:pPr>
        <w:pStyle w:val="ListParagraph"/>
        <w:keepNext/>
        <w:numPr>
          <w:ilvl w:val="0"/>
          <w:numId w:val="33"/>
        </w:numPr>
        <w:spacing w:after="120"/>
        <w:outlineLvl w:val="0"/>
        <w:rPr>
          <w:b/>
          <w:caps/>
          <w:sz w:val="24"/>
          <w:szCs w:val="24"/>
        </w:rPr>
      </w:pPr>
      <w:bookmarkStart w:id="13" w:name="_Toc103169713"/>
      <w:r>
        <w:rPr>
          <w:b/>
          <w:sz w:val="24"/>
          <w:szCs w:val="24"/>
        </w:rPr>
        <w:t>CCN Standard of Review</w:t>
      </w:r>
      <w:bookmarkEnd w:id="13"/>
      <w:r>
        <w:rPr>
          <w:b/>
          <w:sz w:val="24"/>
          <w:szCs w:val="24"/>
        </w:rPr>
        <w:t xml:space="preserve"> </w:t>
      </w:r>
    </w:p>
    <w:p w14:paraId="63FEF640" w14:textId="4F92A67E" w:rsidR="00D90C1F" w:rsidRPr="00D90C1F" w:rsidRDefault="00D90C1F" w:rsidP="00D90C1F">
      <w:pPr>
        <w:spacing w:line="360" w:lineRule="auto"/>
        <w:ind w:firstLine="720"/>
        <w:rPr>
          <w:rFonts w:ascii="Times New Roman" w:hAnsi="Times New Roman" w:cs="Times New Roman"/>
          <w:sz w:val="24"/>
          <w:szCs w:val="24"/>
        </w:rPr>
      </w:pPr>
      <w:r w:rsidRPr="00D90C1F">
        <w:rPr>
          <w:rFonts w:ascii="Times New Roman" w:hAnsi="Times New Roman" w:cs="Times New Roman"/>
          <w:sz w:val="24"/>
          <w:szCs w:val="24"/>
        </w:rPr>
        <w:t xml:space="preserve">PURA § 37.056 governs the </w:t>
      </w:r>
      <w:r w:rsidR="00927D93">
        <w:rPr>
          <w:rFonts w:ascii="Times New Roman" w:hAnsi="Times New Roman" w:cs="Times New Roman"/>
          <w:sz w:val="24"/>
          <w:szCs w:val="24"/>
        </w:rPr>
        <w:t>approval</w:t>
      </w:r>
      <w:r w:rsidR="00927D93" w:rsidRPr="00D90C1F">
        <w:rPr>
          <w:rFonts w:ascii="Times New Roman" w:hAnsi="Times New Roman" w:cs="Times New Roman"/>
          <w:sz w:val="24"/>
          <w:szCs w:val="24"/>
        </w:rPr>
        <w:t xml:space="preserve"> </w:t>
      </w:r>
      <w:r w:rsidRPr="00D90C1F">
        <w:rPr>
          <w:rFonts w:ascii="Times New Roman" w:hAnsi="Times New Roman" w:cs="Times New Roman"/>
          <w:sz w:val="24"/>
          <w:szCs w:val="24"/>
        </w:rPr>
        <w:t xml:space="preserve">or </w:t>
      </w:r>
      <w:r w:rsidR="00927D93">
        <w:rPr>
          <w:rFonts w:ascii="Times New Roman" w:hAnsi="Times New Roman" w:cs="Times New Roman"/>
          <w:sz w:val="24"/>
          <w:szCs w:val="24"/>
        </w:rPr>
        <w:t>denial</w:t>
      </w:r>
      <w:r w:rsidR="00927D93" w:rsidRPr="00D90C1F">
        <w:rPr>
          <w:rFonts w:ascii="Times New Roman" w:hAnsi="Times New Roman" w:cs="Times New Roman"/>
          <w:sz w:val="24"/>
          <w:szCs w:val="24"/>
        </w:rPr>
        <w:t xml:space="preserve"> </w:t>
      </w:r>
      <w:r w:rsidRPr="00D90C1F">
        <w:rPr>
          <w:rFonts w:ascii="Times New Roman" w:hAnsi="Times New Roman" w:cs="Times New Roman"/>
          <w:sz w:val="24"/>
          <w:szCs w:val="24"/>
        </w:rPr>
        <w:t>of a CCN</w:t>
      </w:r>
      <w:r w:rsidR="00927D93">
        <w:rPr>
          <w:rFonts w:ascii="Times New Roman" w:hAnsi="Times New Roman" w:cs="Times New Roman"/>
          <w:sz w:val="24"/>
          <w:szCs w:val="24"/>
        </w:rPr>
        <w:t>.</w:t>
      </w:r>
      <w:r w:rsidRPr="00D90C1F">
        <w:rPr>
          <w:rFonts w:ascii="Times New Roman" w:hAnsi="Times New Roman" w:cs="Times New Roman"/>
          <w:sz w:val="24"/>
          <w:szCs w:val="24"/>
        </w:rPr>
        <w:t xml:space="preserve"> </w:t>
      </w:r>
      <w:r w:rsidR="00927D93">
        <w:rPr>
          <w:rFonts w:ascii="Times New Roman" w:hAnsi="Times New Roman" w:cs="Times New Roman"/>
          <w:sz w:val="24"/>
          <w:szCs w:val="24"/>
        </w:rPr>
        <w:t xml:space="preserve">Subsection (c) of this provision </w:t>
      </w:r>
      <w:r w:rsidRPr="00D90C1F">
        <w:rPr>
          <w:rFonts w:ascii="Times New Roman" w:hAnsi="Times New Roman" w:cs="Times New Roman"/>
          <w:sz w:val="24"/>
          <w:szCs w:val="24"/>
        </w:rPr>
        <w:t>requires the Commission to weigh the following factors:</w:t>
      </w:r>
    </w:p>
    <w:p w14:paraId="4739DE99" w14:textId="480A003F" w:rsidR="00D90C1F" w:rsidRPr="006B4B80" w:rsidRDefault="00D90C1F" w:rsidP="006B4B80">
      <w:pPr>
        <w:pStyle w:val="ListParagraph"/>
        <w:numPr>
          <w:ilvl w:val="1"/>
          <w:numId w:val="41"/>
        </w:numPr>
        <w:adjustRightInd w:val="0"/>
        <w:ind w:right="1440"/>
        <w:rPr>
          <w:rFonts w:eastAsia="Calibri"/>
          <w:color w:val="000000"/>
          <w:sz w:val="24"/>
          <w:szCs w:val="24"/>
        </w:rPr>
      </w:pPr>
      <w:r w:rsidRPr="006B4B80">
        <w:rPr>
          <w:rFonts w:eastAsia="Calibri"/>
          <w:color w:val="000000"/>
          <w:sz w:val="24"/>
          <w:szCs w:val="24"/>
        </w:rPr>
        <w:t xml:space="preserve">the adequacy of existing service; </w:t>
      </w:r>
    </w:p>
    <w:p w14:paraId="121D7C43" w14:textId="42B84DDF" w:rsidR="00D90C1F" w:rsidRPr="006B4B80" w:rsidRDefault="00D90C1F" w:rsidP="006B4B80">
      <w:pPr>
        <w:pStyle w:val="ListParagraph"/>
        <w:numPr>
          <w:ilvl w:val="1"/>
          <w:numId w:val="41"/>
        </w:numPr>
        <w:adjustRightInd w:val="0"/>
        <w:ind w:right="1440"/>
        <w:rPr>
          <w:rFonts w:eastAsia="Calibri"/>
          <w:color w:val="000000"/>
          <w:sz w:val="24"/>
          <w:szCs w:val="24"/>
        </w:rPr>
      </w:pPr>
      <w:r w:rsidRPr="006B4B80">
        <w:rPr>
          <w:rFonts w:eastAsia="Calibri"/>
          <w:color w:val="000000"/>
          <w:sz w:val="24"/>
          <w:szCs w:val="24"/>
        </w:rPr>
        <w:t xml:space="preserve">the need for additional service; </w:t>
      </w:r>
    </w:p>
    <w:p w14:paraId="1034C04E" w14:textId="33904DD0" w:rsidR="00D90C1F" w:rsidRPr="006B4B80" w:rsidRDefault="00D90C1F" w:rsidP="006B4B80">
      <w:pPr>
        <w:pStyle w:val="ListParagraph"/>
        <w:numPr>
          <w:ilvl w:val="1"/>
          <w:numId w:val="41"/>
        </w:numPr>
        <w:adjustRightInd w:val="0"/>
        <w:ind w:right="1440"/>
        <w:rPr>
          <w:rFonts w:eastAsia="Calibri"/>
          <w:color w:val="000000"/>
          <w:sz w:val="24"/>
          <w:szCs w:val="24"/>
        </w:rPr>
      </w:pPr>
      <w:r w:rsidRPr="006B4B80">
        <w:rPr>
          <w:rFonts w:eastAsia="Calibri"/>
          <w:color w:val="000000"/>
          <w:sz w:val="24"/>
          <w:szCs w:val="24"/>
        </w:rPr>
        <w:t xml:space="preserve">the effect of granting the certificate on the recipient of the certificate and any electric utility serving the proximate area; and </w:t>
      </w:r>
    </w:p>
    <w:p w14:paraId="52C21905" w14:textId="4205EA52" w:rsidR="00D90C1F" w:rsidRPr="006B4B80" w:rsidRDefault="00D90C1F" w:rsidP="006B4B80">
      <w:pPr>
        <w:pStyle w:val="ListParagraph"/>
        <w:numPr>
          <w:ilvl w:val="1"/>
          <w:numId w:val="41"/>
        </w:numPr>
        <w:adjustRightInd w:val="0"/>
        <w:spacing w:after="120"/>
        <w:ind w:right="1440"/>
        <w:rPr>
          <w:rFonts w:eastAsia="Calibri"/>
          <w:color w:val="000000"/>
          <w:sz w:val="24"/>
          <w:szCs w:val="24"/>
        </w:rPr>
      </w:pPr>
      <w:r w:rsidRPr="006B4B80">
        <w:rPr>
          <w:rFonts w:eastAsia="Calibri"/>
          <w:color w:val="000000"/>
          <w:sz w:val="24"/>
          <w:szCs w:val="24"/>
        </w:rPr>
        <w:t xml:space="preserve">other factors, such as: </w:t>
      </w:r>
    </w:p>
    <w:p w14:paraId="7B46C6DB" w14:textId="77777777" w:rsidR="00D90C1F" w:rsidRPr="00D90C1F" w:rsidRDefault="00D90C1F" w:rsidP="006B4B80">
      <w:pPr>
        <w:autoSpaceDE w:val="0"/>
        <w:autoSpaceDN w:val="0"/>
        <w:adjustRightInd w:val="0"/>
        <w:spacing w:after="120" w:line="240" w:lineRule="auto"/>
        <w:ind w:left="1800" w:right="1440" w:hanging="360"/>
        <w:rPr>
          <w:rFonts w:ascii="Times New Roman" w:eastAsia="Calibri" w:hAnsi="Times New Roman" w:cs="Times New Roman"/>
          <w:color w:val="000000"/>
          <w:sz w:val="24"/>
          <w:szCs w:val="24"/>
        </w:rPr>
      </w:pPr>
      <w:r w:rsidRPr="00D90C1F">
        <w:rPr>
          <w:rFonts w:ascii="Times New Roman" w:eastAsia="Calibri" w:hAnsi="Times New Roman" w:cs="Times New Roman"/>
          <w:color w:val="000000"/>
          <w:sz w:val="24"/>
          <w:szCs w:val="24"/>
        </w:rPr>
        <w:t xml:space="preserve">(A) community values; </w:t>
      </w:r>
    </w:p>
    <w:p w14:paraId="6547AAEE" w14:textId="77777777" w:rsidR="00D90C1F" w:rsidRPr="00D90C1F" w:rsidRDefault="00D90C1F" w:rsidP="006B4B80">
      <w:pPr>
        <w:autoSpaceDE w:val="0"/>
        <w:autoSpaceDN w:val="0"/>
        <w:adjustRightInd w:val="0"/>
        <w:spacing w:line="240" w:lineRule="auto"/>
        <w:ind w:left="1800" w:right="1440" w:hanging="360"/>
        <w:rPr>
          <w:rFonts w:ascii="Times New Roman" w:eastAsia="Calibri" w:hAnsi="Times New Roman" w:cs="Times New Roman"/>
          <w:color w:val="000000"/>
          <w:sz w:val="24"/>
          <w:szCs w:val="24"/>
        </w:rPr>
      </w:pPr>
      <w:r w:rsidRPr="00D90C1F">
        <w:rPr>
          <w:rFonts w:ascii="Times New Roman" w:eastAsia="Calibri" w:hAnsi="Times New Roman" w:cs="Times New Roman"/>
          <w:color w:val="000000"/>
          <w:sz w:val="24"/>
          <w:szCs w:val="24"/>
        </w:rPr>
        <w:t xml:space="preserve">(B) recreational and park areas; </w:t>
      </w:r>
    </w:p>
    <w:p w14:paraId="0975518B" w14:textId="77777777" w:rsidR="00D90C1F" w:rsidRPr="00D90C1F" w:rsidRDefault="00D90C1F" w:rsidP="006B4B80">
      <w:pPr>
        <w:autoSpaceDE w:val="0"/>
        <w:autoSpaceDN w:val="0"/>
        <w:adjustRightInd w:val="0"/>
        <w:spacing w:line="240" w:lineRule="auto"/>
        <w:ind w:left="1800" w:right="1440" w:hanging="360"/>
        <w:rPr>
          <w:rFonts w:ascii="Times New Roman" w:eastAsia="Calibri" w:hAnsi="Times New Roman" w:cs="Times New Roman"/>
          <w:color w:val="000000"/>
          <w:sz w:val="24"/>
          <w:szCs w:val="24"/>
        </w:rPr>
      </w:pPr>
      <w:r w:rsidRPr="00D90C1F">
        <w:rPr>
          <w:rFonts w:ascii="Times New Roman" w:eastAsia="Calibri" w:hAnsi="Times New Roman" w:cs="Times New Roman"/>
          <w:color w:val="000000"/>
          <w:sz w:val="24"/>
          <w:szCs w:val="24"/>
        </w:rPr>
        <w:t xml:space="preserve">(C) historical and aesthetic values; </w:t>
      </w:r>
    </w:p>
    <w:p w14:paraId="74C5F63E" w14:textId="77777777" w:rsidR="00D90C1F" w:rsidRPr="00D90C1F" w:rsidRDefault="00D90C1F" w:rsidP="006B4B80">
      <w:pPr>
        <w:autoSpaceDE w:val="0"/>
        <w:autoSpaceDN w:val="0"/>
        <w:adjustRightInd w:val="0"/>
        <w:spacing w:line="240" w:lineRule="auto"/>
        <w:ind w:left="1800" w:right="1440" w:hanging="360"/>
        <w:rPr>
          <w:rFonts w:ascii="Times New Roman" w:eastAsia="Calibri" w:hAnsi="Times New Roman" w:cs="Times New Roman"/>
          <w:color w:val="000000"/>
          <w:sz w:val="24"/>
          <w:szCs w:val="24"/>
        </w:rPr>
      </w:pPr>
      <w:r w:rsidRPr="00D90C1F">
        <w:rPr>
          <w:rFonts w:ascii="Times New Roman" w:eastAsia="Calibri" w:hAnsi="Times New Roman" w:cs="Times New Roman"/>
          <w:color w:val="000000"/>
          <w:sz w:val="24"/>
          <w:szCs w:val="24"/>
        </w:rPr>
        <w:lastRenderedPageBreak/>
        <w:t xml:space="preserve">(D) environmental integrity; </w:t>
      </w:r>
    </w:p>
    <w:p w14:paraId="6984A3EE" w14:textId="77777777" w:rsidR="00D90C1F" w:rsidRPr="00D90C1F" w:rsidRDefault="00D90C1F" w:rsidP="006B4B80">
      <w:pPr>
        <w:autoSpaceDE w:val="0"/>
        <w:autoSpaceDN w:val="0"/>
        <w:adjustRightInd w:val="0"/>
        <w:spacing w:line="240" w:lineRule="auto"/>
        <w:ind w:left="1800" w:right="1440" w:hanging="360"/>
        <w:rPr>
          <w:rFonts w:ascii="Times New Roman" w:eastAsia="Calibri" w:hAnsi="Times New Roman" w:cs="Times New Roman"/>
          <w:color w:val="000000"/>
          <w:sz w:val="24"/>
          <w:szCs w:val="24"/>
        </w:rPr>
      </w:pPr>
      <w:r w:rsidRPr="00D90C1F">
        <w:rPr>
          <w:rFonts w:ascii="Times New Roman" w:eastAsia="Calibri" w:hAnsi="Times New Roman" w:cs="Times New Roman"/>
          <w:color w:val="000000"/>
          <w:sz w:val="24"/>
          <w:szCs w:val="24"/>
        </w:rPr>
        <w:t xml:space="preserve">(E) the probable improvement of service or lowering of cost to consumers in the area if the certificate is granted; and </w:t>
      </w:r>
    </w:p>
    <w:p w14:paraId="12BCBFC9" w14:textId="312CF34A" w:rsidR="00D90C1F" w:rsidRPr="00D90C1F" w:rsidRDefault="00D90C1F" w:rsidP="006B4B80">
      <w:pPr>
        <w:spacing w:line="240" w:lineRule="auto"/>
        <w:ind w:left="1800" w:right="1440" w:hanging="360"/>
        <w:rPr>
          <w:rFonts w:ascii="Times New Roman" w:hAnsi="Times New Roman" w:cs="Times New Roman"/>
          <w:sz w:val="24"/>
          <w:szCs w:val="24"/>
        </w:rPr>
      </w:pPr>
      <w:r w:rsidRPr="00D90C1F">
        <w:rPr>
          <w:rFonts w:ascii="Times New Roman" w:hAnsi="Times New Roman" w:cs="Times New Roman"/>
          <w:sz w:val="24"/>
          <w:szCs w:val="24"/>
        </w:rPr>
        <w:t>(F) to the extent applicable, the effect of granting the certificate on the ability of this state to meet the goal established by Section 39.904(a) of this PURA.</w:t>
      </w:r>
      <w:r w:rsidRPr="006B4B80">
        <w:rPr>
          <w:rFonts w:ascii="Times New Roman" w:hAnsi="Times New Roman" w:cs="Times New Roman"/>
          <w:position w:val="6"/>
          <w:sz w:val="16"/>
          <w:szCs w:val="16"/>
        </w:rPr>
        <w:footnoteReference w:id="11"/>
      </w:r>
    </w:p>
    <w:p w14:paraId="314C2B4A" w14:textId="46087D1A" w:rsidR="00EE0804" w:rsidRPr="00D90C1F" w:rsidRDefault="00805CE3" w:rsidP="00EE0804">
      <w:pPr>
        <w:pStyle w:val="ListParagraph"/>
        <w:keepNext/>
        <w:numPr>
          <w:ilvl w:val="0"/>
          <w:numId w:val="33"/>
        </w:numPr>
        <w:spacing w:after="120"/>
        <w:outlineLvl w:val="0"/>
        <w:rPr>
          <w:b/>
          <w:caps/>
          <w:sz w:val="24"/>
          <w:szCs w:val="24"/>
        </w:rPr>
      </w:pPr>
      <w:bookmarkStart w:id="14" w:name="_Toc103169714"/>
      <w:bookmarkStart w:id="15" w:name="_Hlk102661701"/>
      <w:r>
        <w:rPr>
          <w:b/>
          <w:sz w:val="24"/>
          <w:szCs w:val="24"/>
        </w:rPr>
        <w:t xml:space="preserve">SPS’s </w:t>
      </w:r>
      <w:r w:rsidR="009E6441">
        <w:rPr>
          <w:b/>
          <w:sz w:val="24"/>
          <w:szCs w:val="24"/>
        </w:rPr>
        <w:t>Position</w:t>
      </w:r>
      <w:bookmarkEnd w:id="14"/>
    </w:p>
    <w:p w14:paraId="2DF6F195" w14:textId="7BFD6442" w:rsidR="00645CD6" w:rsidRPr="00FD2406" w:rsidRDefault="00A665A1" w:rsidP="006B4B80">
      <w:pPr>
        <w:keepNext/>
        <w:spacing w:after="120" w:line="360" w:lineRule="auto"/>
        <w:ind w:firstLine="720"/>
        <w:jc w:val="both"/>
        <w:outlineLvl w:val="0"/>
        <w:rPr>
          <w:rFonts w:ascii="Times New Roman" w:hAnsi="Times New Roman" w:cs="Times New Roman"/>
          <w:bCs/>
          <w:sz w:val="24"/>
          <w:szCs w:val="24"/>
        </w:rPr>
      </w:pPr>
      <w:bookmarkStart w:id="16" w:name="_Hlk103058191"/>
      <w:bookmarkStart w:id="17" w:name="_Toc103169715"/>
      <w:bookmarkEnd w:id="15"/>
      <w:r w:rsidRPr="00FD2406">
        <w:rPr>
          <w:rFonts w:ascii="Times New Roman" w:hAnsi="Times New Roman" w:cs="Times New Roman"/>
          <w:bCs/>
          <w:sz w:val="24"/>
          <w:szCs w:val="24"/>
        </w:rPr>
        <w:t xml:space="preserve">SPS </w:t>
      </w:r>
      <w:r w:rsidR="00AD347F" w:rsidRPr="00FD2406">
        <w:rPr>
          <w:rFonts w:ascii="Times New Roman" w:hAnsi="Times New Roman" w:cs="Times New Roman"/>
          <w:bCs/>
          <w:sz w:val="24"/>
          <w:szCs w:val="24"/>
        </w:rPr>
        <w:t>analyzed</w:t>
      </w:r>
      <w:r w:rsidRPr="00FD2406">
        <w:rPr>
          <w:rFonts w:ascii="Times New Roman" w:hAnsi="Times New Roman" w:cs="Times New Roman"/>
          <w:bCs/>
          <w:sz w:val="24"/>
          <w:szCs w:val="24"/>
        </w:rPr>
        <w:t xml:space="preserve"> six alternatives as a part of its </w:t>
      </w:r>
      <w:r w:rsidR="00AD347F" w:rsidRPr="00FD2406">
        <w:rPr>
          <w:rFonts w:ascii="Times New Roman" w:hAnsi="Times New Roman" w:cs="Times New Roman"/>
          <w:bCs/>
          <w:sz w:val="24"/>
          <w:szCs w:val="24"/>
        </w:rPr>
        <w:t>plan</w:t>
      </w:r>
      <w:r w:rsidRPr="00FD2406">
        <w:rPr>
          <w:rFonts w:ascii="Times New Roman" w:hAnsi="Times New Roman" w:cs="Times New Roman"/>
          <w:bCs/>
          <w:sz w:val="24"/>
          <w:szCs w:val="24"/>
        </w:rPr>
        <w:t xml:space="preserve"> to convert or retire the Harrington units </w:t>
      </w:r>
      <w:r w:rsidR="00AD347F" w:rsidRPr="00FD2406">
        <w:rPr>
          <w:rFonts w:ascii="Times New Roman" w:hAnsi="Times New Roman" w:cs="Times New Roman"/>
          <w:bCs/>
          <w:sz w:val="24"/>
          <w:szCs w:val="24"/>
        </w:rPr>
        <w:t xml:space="preserve">by the end of 2024 </w:t>
      </w:r>
      <w:r w:rsidRPr="00FD2406">
        <w:rPr>
          <w:rFonts w:ascii="Times New Roman" w:hAnsi="Times New Roman" w:cs="Times New Roman"/>
          <w:bCs/>
          <w:sz w:val="24"/>
          <w:szCs w:val="24"/>
        </w:rPr>
        <w:t xml:space="preserve">in compliance with its </w:t>
      </w:r>
      <w:r w:rsidR="00D43C3D" w:rsidRPr="00FD2406">
        <w:rPr>
          <w:rFonts w:ascii="Times New Roman" w:hAnsi="Times New Roman" w:cs="Times New Roman"/>
          <w:bCs/>
          <w:sz w:val="24"/>
          <w:szCs w:val="24"/>
        </w:rPr>
        <w:t>a</w:t>
      </w:r>
      <w:r w:rsidRPr="00FD2406">
        <w:rPr>
          <w:rFonts w:ascii="Times New Roman" w:hAnsi="Times New Roman" w:cs="Times New Roman"/>
          <w:bCs/>
          <w:sz w:val="24"/>
          <w:szCs w:val="24"/>
        </w:rPr>
        <w:t xml:space="preserve">greed </w:t>
      </w:r>
      <w:r w:rsidR="00D43C3D" w:rsidRPr="00FD2406">
        <w:rPr>
          <w:rFonts w:ascii="Times New Roman" w:hAnsi="Times New Roman" w:cs="Times New Roman"/>
          <w:bCs/>
          <w:sz w:val="24"/>
          <w:szCs w:val="24"/>
        </w:rPr>
        <w:t>o</w:t>
      </w:r>
      <w:r w:rsidRPr="00FD2406">
        <w:rPr>
          <w:rFonts w:ascii="Times New Roman" w:hAnsi="Times New Roman" w:cs="Times New Roman"/>
          <w:bCs/>
          <w:sz w:val="24"/>
          <w:szCs w:val="24"/>
        </w:rPr>
        <w:t>rder with TCEQ.</w:t>
      </w:r>
      <w:bookmarkEnd w:id="16"/>
      <w:r w:rsidRPr="00FD2406">
        <w:rPr>
          <w:rStyle w:val="FootnoteReference"/>
          <w:rFonts w:ascii="Times New Roman" w:hAnsi="Times New Roman" w:cs="Times New Roman"/>
          <w:bCs/>
          <w:szCs w:val="24"/>
        </w:rPr>
        <w:footnoteReference w:id="12"/>
      </w:r>
      <w:r w:rsidRPr="00FD2406">
        <w:rPr>
          <w:rFonts w:ascii="Times New Roman" w:hAnsi="Times New Roman" w:cs="Times New Roman"/>
          <w:bCs/>
          <w:sz w:val="24"/>
          <w:szCs w:val="24"/>
        </w:rPr>
        <w:t xml:space="preserve"> The six alternatives </w:t>
      </w:r>
      <w:r w:rsidR="00AD347F" w:rsidRPr="00FD2406">
        <w:rPr>
          <w:rFonts w:ascii="Times New Roman" w:hAnsi="Times New Roman" w:cs="Times New Roman"/>
          <w:bCs/>
          <w:sz w:val="24"/>
          <w:szCs w:val="24"/>
        </w:rPr>
        <w:t>were:</w:t>
      </w:r>
      <w:r w:rsidRPr="00FD2406">
        <w:rPr>
          <w:rFonts w:ascii="Times New Roman" w:hAnsi="Times New Roman" w:cs="Times New Roman"/>
          <w:bCs/>
          <w:sz w:val="24"/>
          <w:szCs w:val="24"/>
        </w:rPr>
        <w:t xml:space="preserve"> (1) retire all </w:t>
      </w:r>
      <w:r w:rsidR="00AD347F" w:rsidRPr="00FD2406">
        <w:rPr>
          <w:rFonts w:ascii="Times New Roman" w:hAnsi="Times New Roman" w:cs="Times New Roman"/>
          <w:bCs/>
          <w:sz w:val="24"/>
          <w:szCs w:val="24"/>
        </w:rPr>
        <w:t>units</w:t>
      </w:r>
      <w:r w:rsidRPr="00FD2406">
        <w:rPr>
          <w:rFonts w:ascii="Times New Roman" w:hAnsi="Times New Roman" w:cs="Times New Roman"/>
          <w:bCs/>
          <w:sz w:val="24"/>
          <w:szCs w:val="24"/>
        </w:rPr>
        <w:t>; (2) co</w:t>
      </w:r>
      <w:r w:rsidR="00080F3F" w:rsidRPr="00FD2406">
        <w:rPr>
          <w:rFonts w:ascii="Times New Roman" w:hAnsi="Times New Roman" w:cs="Times New Roman"/>
          <w:bCs/>
          <w:sz w:val="24"/>
          <w:szCs w:val="24"/>
        </w:rPr>
        <w:t>n</w:t>
      </w:r>
      <w:r w:rsidRPr="00FD2406">
        <w:rPr>
          <w:rFonts w:ascii="Times New Roman" w:hAnsi="Times New Roman" w:cs="Times New Roman"/>
          <w:bCs/>
          <w:sz w:val="24"/>
          <w:szCs w:val="24"/>
        </w:rPr>
        <w:t xml:space="preserve">vert all three </w:t>
      </w:r>
      <w:r w:rsidR="00AD347F" w:rsidRPr="00FD2406">
        <w:rPr>
          <w:rFonts w:ascii="Times New Roman" w:hAnsi="Times New Roman" w:cs="Times New Roman"/>
          <w:bCs/>
          <w:sz w:val="24"/>
          <w:szCs w:val="24"/>
        </w:rPr>
        <w:t>units</w:t>
      </w:r>
      <w:r w:rsidRPr="00FD2406">
        <w:rPr>
          <w:rFonts w:ascii="Times New Roman" w:hAnsi="Times New Roman" w:cs="Times New Roman"/>
          <w:bCs/>
          <w:sz w:val="24"/>
          <w:szCs w:val="24"/>
        </w:rPr>
        <w:t>; (3) install dry sorbent injection</w:t>
      </w:r>
      <w:r w:rsidR="00BA3E14" w:rsidRPr="00FD2406">
        <w:rPr>
          <w:rFonts w:ascii="Times New Roman" w:hAnsi="Times New Roman" w:cs="Times New Roman"/>
          <w:bCs/>
          <w:sz w:val="24"/>
          <w:szCs w:val="24"/>
        </w:rPr>
        <w:t xml:space="preserve"> on all three </w:t>
      </w:r>
      <w:r w:rsidR="00AD347F" w:rsidRPr="00FD2406">
        <w:rPr>
          <w:rFonts w:ascii="Times New Roman" w:hAnsi="Times New Roman" w:cs="Times New Roman"/>
          <w:bCs/>
          <w:sz w:val="24"/>
          <w:szCs w:val="24"/>
        </w:rPr>
        <w:t>units</w:t>
      </w:r>
      <w:r w:rsidR="00BA3E14" w:rsidRPr="00FD2406">
        <w:rPr>
          <w:rFonts w:ascii="Times New Roman" w:hAnsi="Times New Roman" w:cs="Times New Roman"/>
          <w:bCs/>
          <w:sz w:val="24"/>
          <w:szCs w:val="24"/>
        </w:rPr>
        <w:t xml:space="preserve">; (4) install spray dryer absorber on all three </w:t>
      </w:r>
      <w:r w:rsidR="00AD347F" w:rsidRPr="00FD2406">
        <w:rPr>
          <w:rFonts w:ascii="Times New Roman" w:hAnsi="Times New Roman" w:cs="Times New Roman"/>
          <w:bCs/>
          <w:sz w:val="24"/>
          <w:szCs w:val="24"/>
        </w:rPr>
        <w:t>units</w:t>
      </w:r>
      <w:r w:rsidR="00BA3E14" w:rsidRPr="00FD2406">
        <w:rPr>
          <w:rFonts w:ascii="Times New Roman" w:hAnsi="Times New Roman" w:cs="Times New Roman"/>
          <w:bCs/>
          <w:sz w:val="24"/>
          <w:szCs w:val="24"/>
        </w:rPr>
        <w:t xml:space="preserve">; (5) retire </w:t>
      </w:r>
      <w:r w:rsidR="00AD347F" w:rsidRPr="00FD2406">
        <w:rPr>
          <w:rFonts w:ascii="Times New Roman" w:hAnsi="Times New Roman" w:cs="Times New Roman"/>
          <w:bCs/>
          <w:sz w:val="24"/>
          <w:szCs w:val="24"/>
        </w:rPr>
        <w:t>units</w:t>
      </w:r>
      <w:r w:rsidR="00BA3E14" w:rsidRPr="00FD2406">
        <w:rPr>
          <w:rFonts w:ascii="Times New Roman" w:hAnsi="Times New Roman" w:cs="Times New Roman"/>
          <w:bCs/>
          <w:sz w:val="24"/>
          <w:szCs w:val="24"/>
        </w:rPr>
        <w:t xml:space="preserve"> 1 </w:t>
      </w:r>
      <w:r w:rsidR="00AD347F" w:rsidRPr="00FD2406">
        <w:rPr>
          <w:rFonts w:ascii="Times New Roman" w:hAnsi="Times New Roman" w:cs="Times New Roman"/>
          <w:bCs/>
          <w:sz w:val="24"/>
          <w:szCs w:val="24"/>
        </w:rPr>
        <w:t>and</w:t>
      </w:r>
      <w:r w:rsidR="00BA3E14" w:rsidRPr="00FD2406">
        <w:rPr>
          <w:rFonts w:ascii="Times New Roman" w:hAnsi="Times New Roman" w:cs="Times New Roman"/>
          <w:bCs/>
          <w:sz w:val="24"/>
          <w:szCs w:val="24"/>
        </w:rPr>
        <w:t xml:space="preserve"> 2 and convert </w:t>
      </w:r>
      <w:r w:rsidR="00AD347F" w:rsidRPr="00FD2406">
        <w:rPr>
          <w:rFonts w:ascii="Times New Roman" w:hAnsi="Times New Roman" w:cs="Times New Roman"/>
          <w:bCs/>
          <w:sz w:val="24"/>
          <w:szCs w:val="24"/>
        </w:rPr>
        <w:t>unit 3</w:t>
      </w:r>
      <w:r w:rsidR="00BA3E14" w:rsidRPr="00FD2406">
        <w:rPr>
          <w:rFonts w:ascii="Times New Roman" w:hAnsi="Times New Roman" w:cs="Times New Roman"/>
          <w:bCs/>
          <w:sz w:val="24"/>
          <w:szCs w:val="24"/>
        </w:rPr>
        <w:t xml:space="preserve">; or </w:t>
      </w:r>
      <w:r w:rsidR="00BA3E14" w:rsidRPr="00FD2406">
        <w:rPr>
          <w:rFonts w:ascii="Times New Roman" w:eastAsia="Times New Roman" w:hAnsi="Times New Roman" w:cs="Times New Roman"/>
          <w:bCs/>
          <w:sz w:val="24"/>
          <w:szCs w:val="24"/>
        </w:rPr>
        <w:t xml:space="preserve">(6) retire </w:t>
      </w:r>
      <w:r w:rsidR="00AD347F" w:rsidRPr="00FD2406">
        <w:rPr>
          <w:rFonts w:ascii="Times New Roman" w:eastAsia="Times New Roman" w:hAnsi="Times New Roman" w:cs="Times New Roman"/>
          <w:bCs/>
          <w:sz w:val="24"/>
          <w:szCs w:val="24"/>
        </w:rPr>
        <w:t>unit 1 and convert units 2 and 3</w:t>
      </w:r>
      <w:r w:rsidR="00BA3E14" w:rsidRPr="00FD2406">
        <w:rPr>
          <w:rFonts w:ascii="Times New Roman" w:eastAsia="Times New Roman" w:hAnsi="Times New Roman" w:cs="Times New Roman"/>
          <w:bCs/>
          <w:sz w:val="24"/>
          <w:szCs w:val="24"/>
        </w:rPr>
        <w:t>.</w:t>
      </w:r>
      <w:r w:rsidR="00BA3E14" w:rsidRPr="00FD2406">
        <w:rPr>
          <w:rStyle w:val="FootnoteReference"/>
          <w:rFonts w:ascii="Times New Roman" w:eastAsia="Times New Roman" w:hAnsi="Times New Roman" w:cs="Times New Roman"/>
          <w:bCs/>
          <w:szCs w:val="24"/>
        </w:rPr>
        <w:footnoteReference w:id="13"/>
      </w:r>
      <w:r w:rsidR="00BA3E14" w:rsidRPr="00FD2406">
        <w:rPr>
          <w:rFonts w:ascii="Times New Roman" w:eastAsia="Times New Roman" w:hAnsi="Times New Roman" w:cs="Times New Roman"/>
          <w:bCs/>
          <w:sz w:val="24"/>
          <w:szCs w:val="24"/>
        </w:rPr>
        <w:t xml:space="preserve"> </w:t>
      </w:r>
      <w:r w:rsidR="00BA3E14" w:rsidRPr="00FD2406">
        <w:rPr>
          <w:rFonts w:ascii="Times New Roman" w:hAnsi="Times New Roman" w:cs="Times New Roman"/>
          <w:bCs/>
          <w:sz w:val="24"/>
          <w:szCs w:val="24"/>
        </w:rPr>
        <w:t xml:space="preserve">SPS </w:t>
      </w:r>
      <w:r w:rsidR="00080F3F" w:rsidRPr="00FD2406">
        <w:rPr>
          <w:rFonts w:ascii="Times New Roman" w:hAnsi="Times New Roman" w:cs="Times New Roman"/>
          <w:bCs/>
          <w:sz w:val="24"/>
          <w:szCs w:val="24"/>
        </w:rPr>
        <w:t>has selected</w:t>
      </w:r>
      <w:r w:rsidR="00BA3E14" w:rsidRPr="00FD2406">
        <w:rPr>
          <w:rFonts w:ascii="Times New Roman" w:hAnsi="Times New Roman" w:cs="Times New Roman"/>
          <w:bCs/>
          <w:sz w:val="24"/>
          <w:szCs w:val="24"/>
        </w:rPr>
        <w:t xml:space="preserve"> option 2</w:t>
      </w:r>
      <w:r w:rsidR="00AD347F" w:rsidRPr="00FD2406">
        <w:rPr>
          <w:rFonts w:ascii="Times New Roman" w:hAnsi="Times New Roman" w:cs="Times New Roman"/>
          <w:bCs/>
          <w:sz w:val="24"/>
          <w:szCs w:val="24"/>
        </w:rPr>
        <w:t>, converting all three units</w:t>
      </w:r>
      <w:r w:rsidR="00BA3E14" w:rsidRPr="00FD2406">
        <w:rPr>
          <w:rFonts w:ascii="Times New Roman" w:hAnsi="Times New Roman" w:cs="Times New Roman"/>
          <w:bCs/>
          <w:sz w:val="24"/>
          <w:szCs w:val="24"/>
        </w:rPr>
        <w:t>.</w:t>
      </w:r>
      <w:r w:rsidR="00BA3E14" w:rsidRPr="00FD2406">
        <w:rPr>
          <w:rStyle w:val="FootnoteReference"/>
          <w:rFonts w:ascii="Times New Roman" w:hAnsi="Times New Roman" w:cs="Times New Roman"/>
          <w:bCs/>
          <w:szCs w:val="24"/>
        </w:rPr>
        <w:footnoteReference w:id="14"/>
      </w:r>
      <w:r w:rsidR="00BA3E14" w:rsidRPr="00FD2406">
        <w:rPr>
          <w:rFonts w:ascii="Times New Roman" w:hAnsi="Times New Roman" w:cs="Times New Roman"/>
          <w:bCs/>
          <w:sz w:val="24"/>
          <w:szCs w:val="24"/>
        </w:rPr>
        <w:t xml:space="preserve"> </w:t>
      </w:r>
      <w:r w:rsidR="00AD347F" w:rsidRPr="00FD2406">
        <w:rPr>
          <w:rFonts w:ascii="Times New Roman" w:hAnsi="Times New Roman" w:cs="Times New Roman"/>
          <w:bCs/>
          <w:sz w:val="24"/>
          <w:szCs w:val="24"/>
        </w:rPr>
        <w:t>SPS</w:t>
      </w:r>
      <w:r w:rsidR="005A34F7">
        <w:rPr>
          <w:rFonts w:ascii="Times New Roman" w:hAnsi="Times New Roman" w:cs="Times New Roman"/>
          <w:bCs/>
          <w:sz w:val="24"/>
          <w:szCs w:val="24"/>
        </w:rPr>
        <w:t xml:space="preserve"> selected alternative 2 – convert all three units – because </w:t>
      </w:r>
      <w:r w:rsidR="00113E9E">
        <w:rPr>
          <w:rFonts w:ascii="Times New Roman" w:hAnsi="Times New Roman" w:cs="Times New Roman"/>
          <w:bCs/>
          <w:sz w:val="24"/>
          <w:szCs w:val="24"/>
        </w:rPr>
        <w:t>it will continue to need the capacity provided by the three units</w:t>
      </w:r>
      <w:r w:rsidR="00DD17FD">
        <w:rPr>
          <w:rFonts w:ascii="Times New Roman" w:hAnsi="Times New Roman" w:cs="Times New Roman"/>
          <w:bCs/>
          <w:sz w:val="24"/>
          <w:szCs w:val="24"/>
        </w:rPr>
        <w:t xml:space="preserve"> and the</w:t>
      </w:r>
      <w:r w:rsidR="002F26B1">
        <w:rPr>
          <w:rFonts w:ascii="Times New Roman" w:hAnsi="Times New Roman" w:cs="Times New Roman"/>
          <w:bCs/>
          <w:sz w:val="24"/>
          <w:szCs w:val="24"/>
        </w:rPr>
        <w:t xml:space="preserve"> conversion </w:t>
      </w:r>
      <w:r w:rsidR="00DD17FD">
        <w:rPr>
          <w:rFonts w:ascii="Times New Roman" w:hAnsi="Times New Roman" w:cs="Times New Roman"/>
          <w:bCs/>
          <w:sz w:val="24"/>
          <w:szCs w:val="24"/>
        </w:rPr>
        <w:t>is</w:t>
      </w:r>
      <w:r w:rsidR="002F26B1">
        <w:rPr>
          <w:rFonts w:ascii="Times New Roman" w:hAnsi="Times New Roman" w:cs="Times New Roman"/>
          <w:bCs/>
          <w:sz w:val="24"/>
          <w:szCs w:val="24"/>
        </w:rPr>
        <w:t xml:space="preserve"> a cost</w:t>
      </w:r>
      <w:r w:rsidR="00DD17FD">
        <w:rPr>
          <w:rFonts w:ascii="Times New Roman" w:hAnsi="Times New Roman" w:cs="Times New Roman"/>
          <w:bCs/>
          <w:sz w:val="24"/>
          <w:szCs w:val="24"/>
        </w:rPr>
        <w:t>-</w:t>
      </w:r>
      <w:r w:rsidR="002F26B1">
        <w:rPr>
          <w:rFonts w:ascii="Times New Roman" w:hAnsi="Times New Roman" w:cs="Times New Roman"/>
          <w:bCs/>
          <w:sz w:val="24"/>
          <w:szCs w:val="24"/>
        </w:rPr>
        <w:t>effective solution.</w:t>
      </w:r>
      <w:r w:rsidR="002F26B1">
        <w:rPr>
          <w:rStyle w:val="FootnoteReference"/>
          <w:rFonts w:ascii="Times New Roman" w:hAnsi="Times New Roman" w:cs="Times New Roman"/>
          <w:bCs/>
          <w:szCs w:val="24"/>
        </w:rPr>
        <w:footnoteReference w:id="15"/>
      </w:r>
      <w:bookmarkEnd w:id="17"/>
    </w:p>
    <w:p w14:paraId="40F3FBA9" w14:textId="27F523E1" w:rsidR="001A4876" w:rsidRPr="001A4876" w:rsidRDefault="005A34F7" w:rsidP="001A4876">
      <w:pPr>
        <w:pStyle w:val="ListParagraph"/>
        <w:keepNext/>
        <w:numPr>
          <w:ilvl w:val="0"/>
          <w:numId w:val="33"/>
        </w:numPr>
        <w:spacing w:after="120"/>
        <w:outlineLvl w:val="0"/>
        <w:rPr>
          <w:b/>
          <w:caps/>
          <w:sz w:val="24"/>
          <w:szCs w:val="24"/>
        </w:rPr>
      </w:pPr>
      <w:bookmarkStart w:id="18" w:name="_Toc103169716"/>
      <w:r>
        <w:rPr>
          <w:b/>
          <w:sz w:val="24"/>
          <w:szCs w:val="24"/>
        </w:rPr>
        <w:t>Alliance of Xcel Municipalities’ (AXM) Position</w:t>
      </w:r>
      <w:bookmarkEnd w:id="18"/>
    </w:p>
    <w:p w14:paraId="1B60A0E2" w14:textId="749D7385" w:rsidR="00BA3E14" w:rsidRDefault="001A4876" w:rsidP="00DC211D">
      <w:pPr>
        <w:keepNext/>
        <w:spacing w:after="120" w:line="360" w:lineRule="auto"/>
        <w:ind w:firstLine="720"/>
        <w:jc w:val="both"/>
        <w:outlineLvl w:val="0"/>
        <w:rPr>
          <w:rFonts w:ascii="Times New Roman" w:hAnsi="Times New Roman" w:cs="Times New Roman"/>
          <w:bCs/>
          <w:sz w:val="24"/>
          <w:szCs w:val="24"/>
        </w:rPr>
      </w:pPr>
      <w:bookmarkStart w:id="19" w:name="_Toc103169717"/>
      <w:r>
        <w:rPr>
          <w:rFonts w:ascii="Times New Roman" w:hAnsi="Times New Roman" w:cs="Times New Roman"/>
          <w:bCs/>
          <w:sz w:val="24"/>
          <w:szCs w:val="24"/>
        </w:rPr>
        <w:t>Alliance of Xcel Municipalities (AXM) witness Scott Norwood</w:t>
      </w:r>
      <w:r w:rsidR="005A34F7">
        <w:rPr>
          <w:rFonts w:ascii="Times New Roman" w:hAnsi="Times New Roman" w:cs="Times New Roman"/>
          <w:bCs/>
          <w:sz w:val="24"/>
          <w:szCs w:val="24"/>
        </w:rPr>
        <w:t>, using SPS’s own analysis, testified that the cost of the alternatives involving retiring or converting one or more of the Harrington coal units – scenarios 1, 2, 5, and 6 – essentially cost</w:t>
      </w:r>
      <w:r w:rsidR="00F73F1C">
        <w:rPr>
          <w:rFonts w:ascii="Times New Roman" w:hAnsi="Times New Roman" w:cs="Times New Roman"/>
          <w:bCs/>
          <w:sz w:val="24"/>
          <w:szCs w:val="24"/>
        </w:rPr>
        <w:t>s</w:t>
      </w:r>
      <w:r w:rsidR="005A34F7">
        <w:rPr>
          <w:rFonts w:ascii="Times New Roman" w:hAnsi="Times New Roman" w:cs="Times New Roman"/>
          <w:bCs/>
          <w:sz w:val="24"/>
          <w:szCs w:val="24"/>
        </w:rPr>
        <w:t xml:space="preserve"> the same because the cost differences between those scenarios was less than one percent.</w:t>
      </w:r>
      <w:r w:rsidR="00CE289E">
        <w:rPr>
          <w:rStyle w:val="FootnoteReference"/>
          <w:rFonts w:ascii="Times New Roman" w:hAnsi="Times New Roman" w:cs="Times New Roman"/>
          <w:bCs/>
          <w:szCs w:val="24"/>
        </w:rPr>
        <w:footnoteReference w:id="16"/>
      </w:r>
      <w:r w:rsidR="00533BD1">
        <w:rPr>
          <w:rFonts w:ascii="Times New Roman" w:hAnsi="Times New Roman" w:cs="Times New Roman"/>
          <w:bCs/>
          <w:sz w:val="24"/>
          <w:szCs w:val="24"/>
        </w:rPr>
        <w:t xml:space="preserve"> </w:t>
      </w:r>
      <w:r w:rsidR="005A34F7">
        <w:rPr>
          <w:rFonts w:ascii="Times New Roman" w:hAnsi="Times New Roman" w:cs="Times New Roman"/>
          <w:bCs/>
          <w:sz w:val="24"/>
          <w:szCs w:val="24"/>
        </w:rPr>
        <w:t xml:space="preserve">Mr. Norwood recommend </w:t>
      </w:r>
      <w:r w:rsidR="00271345">
        <w:rPr>
          <w:rFonts w:ascii="Times New Roman" w:hAnsi="Times New Roman" w:cs="Times New Roman"/>
          <w:bCs/>
          <w:sz w:val="24"/>
          <w:szCs w:val="24"/>
        </w:rPr>
        <w:t xml:space="preserve">selection of scenario 1 – retire and replace all three units – because </w:t>
      </w:r>
      <w:r w:rsidR="00701CE4">
        <w:rPr>
          <w:rFonts w:ascii="Times New Roman" w:hAnsi="Times New Roman" w:cs="Times New Roman"/>
          <w:bCs/>
          <w:sz w:val="24"/>
          <w:szCs w:val="24"/>
        </w:rPr>
        <w:t>conversion of all three units would mean that approximately 20% of SPS’s total firm generating capacity would be supplied by older converted gas unit</w:t>
      </w:r>
      <w:r w:rsidR="009D588E">
        <w:rPr>
          <w:rFonts w:ascii="Times New Roman" w:hAnsi="Times New Roman" w:cs="Times New Roman"/>
          <w:bCs/>
          <w:sz w:val="24"/>
          <w:szCs w:val="24"/>
        </w:rPr>
        <w:t>s</w:t>
      </w:r>
      <w:r w:rsidR="00701CE4">
        <w:rPr>
          <w:rFonts w:ascii="Times New Roman" w:hAnsi="Times New Roman" w:cs="Times New Roman"/>
          <w:bCs/>
          <w:sz w:val="24"/>
          <w:szCs w:val="24"/>
        </w:rPr>
        <w:t>.</w:t>
      </w:r>
      <w:r w:rsidR="009D588E">
        <w:rPr>
          <w:rStyle w:val="FootnoteReference"/>
          <w:rFonts w:ascii="Times New Roman" w:hAnsi="Times New Roman" w:cs="Times New Roman"/>
          <w:bCs/>
          <w:szCs w:val="24"/>
        </w:rPr>
        <w:footnoteReference w:id="17"/>
      </w:r>
      <w:r w:rsidR="00701CE4">
        <w:rPr>
          <w:rFonts w:ascii="Times New Roman" w:hAnsi="Times New Roman" w:cs="Times New Roman"/>
          <w:bCs/>
          <w:sz w:val="24"/>
          <w:szCs w:val="24"/>
        </w:rPr>
        <w:t xml:space="preserve"> </w:t>
      </w:r>
      <w:r w:rsidR="009D588E">
        <w:rPr>
          <w:rFonts w:ascii="Times New Roman" w:hAnsi="Times New Roman" w:cs="Times New Roman"/>
          <w:bCs/>
          <w:sz w:val="24"/>
          <w:szCs w:val="24"/>
        </w:rPr>
        <w:t xml:space="preserve">Further, </w:t>
      </w:r>
      <w:r w:rsidR="00DD17FD">
        <w:rPr>
          <w:rFonts w:ascii="Times New Roman" w:hAnsi="Times New Roman" w:cs="Times New Roman"/>
          <w:bCs/>
          <w:sz w:val="24"/>
          <w:szCs w:val="24"/>
        </w:rPr>
        <w:t>he opined</w:t>
      </w:r>
      <w:r w:rsidR="009D588E">
        <w:rPr>
          <w:rFonts w:ascii="Times New Roman" w:hAnsi="Times New Roman" w:cs="Times New Roman"/>
          <w:bCs/>
          <w:sz w:val="24"/>
          <w:szCs w:val="24"/>
        </w:rPr>
        <w:t xml:space="preserve"> that retirements of all three units and replacement with combustion turbines </w:t>
      </w:r>
      <w:r w:rsidR="00D85DFD">
        <w:rPr>
          <w:rFonts w:ascii="Times New Roman" w:hAnsi="Times New Roman" w:cs="Times New Roman"/>
          <w:bCs/>
          <w:sz w:val="24"/>
          <w:szCs w:val="24"/>
        </w:rPr>
        <w:t>would provide far better</w:t>
      </w:r>
      <w:r w:rsidR="009D588E">
        <w:rPr>
          <w:rFonts w:ascii="Times New Roman" w:hAnsi="Times New Roman" w:cs="Times New Roman"/>
          <w:bCs/>
          <w:sz w:val="24"/>
          <w:szCs w:val="24"/>
        </w:rPr>
        <w:t xml:space="preserve"> quick start capability and </w:t>
      </w:r>
      <w:r w:rsidR="00D85DFD">
        <w:rPr>
          <w:rFonts w:ascii="Times New Roman" w:hAnsi="Times New Roman" w:cs="Times New Roman"/>
          <w:bCs/>
          <w:sz w:val="24"/>
          <w:szCs w:val="24"/>
        </w:rPr>
        <w:t xml:space="preserve">peaking service </w:t>
      </w:r>
      <w:r w:rsidR="00D85DFD">
        <w:rPr>
          <w:rFonts w:ascii="Times New Roman" w:hAnsi="Times New Roman" w:cs="Times New Roman"/>
          <w:bCs/>
          <w:sz w:val="24"/>
          <w:szCs w:val="24"/>
        </w:rPr>
        <w:lastRenderedPageBreak/>
        <w:t>capability that is required for effective back-up of</w:t>
      </w:r>
      <w:r w:rsidR="009D588E">
        <w:rPr>
          <w:rFonts w:ascii="Times New Roman" w:hAnsi="Times New Roman" w:cs="Times New Roman"/>
          <w:bCs/>
          <w:sz w:val="24"/>
          <w:szCs w:val="24"/>
        </w:rPr>
        <w:t xml:space="preserve"> renewable energy resources</w:t>
      </w:r>
      <w:r w:rsidR="00D85DFD">
        <w:rPr>
          <w:rFonts w:ascii="Times New Roman" w:hAnsi="Times New Roman" w:cs="Times New Roman"/>
          <w:bCs/>
          <w:sz w:val="24"/>
          <w:szCs w:val="24"/>
        </w:rPr>
        <w:t xml:space="preserve"> and other requirements of the SPS system</w:t>
      </w:r>
      <w:r w:rsidR="009D588E">
        <w:rPr>
          <w:rFonts w:ascii="Times New Roman" w:hAnsi="Times New Roman" w:cs="Times New Roman"/>
          <w:bCs/>
          <w:sz w:val="24"/>
          <w:szCs w:val="24"/>
        </w:rPr>
        <w:t>.</w:t>
      </w:r>
      <w:r w:rsidR="009D588E">
        <w:rPr>
          <w:rStyle w:val="FootnoteReference"/>
          <w:rFonts w:ascii="Times New Roman" w:hAnsi="Times New Roman" w:cs="Times New Roman"/>
          <w:bCs/>
          <w:szCs w:val="24"/>
        </w:rPr>
        <w:footnoteReference w:id="18"/>
      </w:r>
      <w:bookmarkEnd w:id="19"/>
    </w:p>
    <w:p w14:paraId="07E1F236" w14:textId="7F8DE27B" w:rsidR="00080F3F" w:rsidRPr="001A4876" w:rsidRDefault="00C27E26" w:rsidP="00080F3F">
      <w:pPr>
        <w:pStyle w:val="ListParagraph"/>
        <w:keepNext/>
        <w:numPr>
          <w:ilvl w:val="0"/>
          <w:numId w:val="33"/>
        </w:numPr>
        <w:spacing w:after="120"/>
        <w:outlineLvl w:val="0"/>
        <w:rPr>
          <w:b/>
          <w:caps/>
          <w:sz w:val="24"/>
          <w:szCs w:val="24"/>
        </w:rPr>
      </w:pPr>
      <w:bookmarkStart w:id="20" w:name="_Toc103169718"/>
      <w:r>
        <w:rPr>
          <w:b/>
          <w:sz w:val="24"/>
          <w:szCs w:val="24"/>
        </w:rPr>
        <w:t>EVALUATION OF THE EVIDENCE</w:t>
      </w:r>
      <w:bookmarkEnd w:id="20"/>
    </w:p>
    <w:p w14:paraId="6FCDD3D9" w14:textId="1111CAF5" w:rsidR="00543ADE" w:rsidRDefault="00271345" w:rsidP="002B15C0">
      <w:pPr>
        <w:keepNext/>
        <w:spacing w:after="120" w:line="360" w:lineRule="auto"/>
        <w:ind w:firstLine="720"/>
        <w:jc w:val="both"/>
        <w:outlineLvl w:val="0"/>
        <w:rPr>
          <w:rFonts w:ascii="Times New Roman" w:hAnsi="Times New Roman" w:cs="Times New Roman"/>
          <w:bCs/>
          <w:sz w:val="24"/>
          <w:szCs w:val="24"/>
        </w:rPr>
      </w:pPr>
      <w:bookmarkStart w:id="21" w:name="_Toc103169719"/>
      <w:r>
        <w:rPr>
          <w:rFonts w:ascii="Times New Roman" w:hAnsi="Times New Roman" w:cs="Times New Roman"/>
          <w:bCs/>
          <w:sz w:val="24"/>
          <w:szCs w:val="24"/>
        </w:rPr>
        <w:t>AXM witness Norwood</w:t>
      </w:r>
      <w:r w:rsidR="00D85DFD">
        <w:rPr>
          <w:rFonts w:ascii="Times New Roman" w:hAnsi="Times New Roman" w:cs="Times New Roman"/>
          <w:bCs/>
          <w:sz w:val="24"/>
          <w:szCs w:val="24"/>
        </w:rPr>
        <w:t xml:space="preserve"> recommended that</w:t>
      </w:r>
      <w:r w:rsidR="004F30DA">
        <w:rPr>
          <w:rFonts w:ascii="Times New Roman" w:hAnsi="Times New Roman" w:cs="Times New Roman"/>
          <w:bCs/>
          <w:sz w:val="24"/>
          <w:szCs w:val="24"/>
        </w:rPr>
        <w:t xml:space="preserve"> SPS </w:t>
      </w:r>
      <w:r w:rsidR="00D85DFD">
        <w:rPr>
          <w:rFonts w:ascii="Times New Roman" w:hAnsi="Times New Roman" w:cs="Times New Roman"/>
          <w:bCs/>
          <w:sz w:val="24"/>
          <w:szCs w:val="24"/>
        </w:rPr>
        <w:t>be required to</w:t>
      </w:r>
      <w:r w:rsidR="004F30DA">
        <w:rPr>
          <w:rFonts w:ascii="Times New Roman" w:hAnsi="Times New Roman" w:cs="Times New Roman"/>
          <w:bCs/>
          <w:sz w:val="24"/>
          <w:szCs w:val="24"/>
        </w:rPr>
        <w:t xml:space="preserve"> </w:t>
      </w:r>
      <w:r w:rsidR="0059170A">
        <w:rPr>
          <w:rFonts w:ascii="Times New Roman" w:hAnsi="Times New Roman" w:cs="Times New Roman"/>
          <w:bCs/>
          <w:sz w:val="24"/>
          <w:szCs w:val="24"/>
        </w:rPr>
        <w:t>pursue scenario 1 “</w:t>
      </w:r>
      <w:r w:rsidR="0059170A" w:rsidRPr="0059170A">
        <w:rPr>
          <w:rFonts w:ascii="Times New Roman" w:hAnsi="Times New Roman" w:cs="Times New Roman"/>
          <w:bCs/>
          <w:sz w:val="24"/>
          <w:szCs w:val="24"/>
        </w:rPr>
        <w:t>but it would need to proceed with the new bidding process expeditiously. In addition, SPS could potentially still defer the need for replacement of the Harrington coal units in 2025 for several years by deferring its current plans to retire approximately 650 MW of capacity supplied from other SPS gas-fired units over the next several years or perhaps relying on short-term capacity purchases as it has in the past.</w:t>
      </w:r>
      <w:r w:rsidR="0059170A">
        <w:rPr>
          <w:rFonts w:ascii="Times New Roman" w:hAnsi="Times New Roman" w:cs="Times New Roman"/>
          <w:bCs/>
          <w:sz w:val="24"/>
          <w:szCs w:val="24"/>
        </w:rPr>
        <w:t>”</w:t>
      </w:r>
      <w:r w:rsidR="009D588E">
        <w:rPr>
          <w:rStyle w:val="FootnoteReference"/>
          <w:rFonts w:ascii="Times New Roman" w:hAnsi="Times New Roman" w:cs="Times New Roman"/>
          <w:bCs/>
          <w:szCs w:val="24"/>
        </w:rPr>
        <w:footnoteReference w:id="19"/>
      </w:r>
      <w:r w:rsidR="00D85DFD">
        <w:rPr>
          <w:rFonts w:ascii="Times New Roman" w:hAnsi="Times New Roman" w:cs="Times New Roman"/>
          <w:bCs/>
          <w:sz w:val="24"/>
          <w:szCs w:val="24"/>
        </w:rPr>
        <w:t xml:space="preserve"> SPS witness </w:t>
      </w:r>
      <w:proofErr w:type="spellStart"/>
      <w:r w:rsidR="00D85DFD">
        <w:rPr>
          <w:rFonts w:ascii="Times New Roman" w:hAnsi="Times New Roman" w:cs="Times New Roman"/>
          <w:bCs/>
          <w:sz w:val="24"/>
          <w:szCs w:val="24"/>
        </w:rPr>
        <w:t>Koujack</w:t>
      </w:r>
      <w:proofErr w:type="spellEnd"/>
      <w:r w:rsidR="00D85DFD">
        <w:rPr>
          <w:rFonts w:ascii="Times New Roman" w:hAnsi="Times New Roman" w:cs="Times New Roman"/>
          <w:bCs/>
          <w:sz w:val="24"/>
          <w:szCs w:val="24"/>
        </w:rPr>
        <w:t xml:space="preserve"> indicated in response that not only </w:t>
      </w:r>
      <w:r w:rsidR="002B15C0">
        <w:rPr>
          <w:rFonts w:ascii="Times New Roman" w:hAnsi="Times New Roman" w:cs="Times New Roman"/>
          <w:bCs/>
          <w:sz w:val="24"/>
          <w:szCs w:val="24"/>
        </w:rPr>
        <w:t>in his opinion is there insufficient time to conduct a new bidding process, there is insufficient time for SPS to pursue a self-build option at the Harrington site involving construction of combustion turbines: “</w:t>
      </w:r>
      <w:r w:rsidR="002B15C0" w:rsidRPr="002B15C0">
        <w:rPr>
          <w:rFonts w:ascii="Times New Roman" w:hAnsi="Times New Roman" w:cs="Times New Roman"/>
          <w:bCs/>
          <w:sz w:val="24"/>
          <w:szCs w:val="24"/>
        </w:rPr>
        <w:t>When there is not an interconnection logjam, minimum procurement timeframe for commercial operation, particularly for larger-sized generation, is approximately four years.</w:t>
      </w:r>
      <w:r w:rsidR="002B15C0">
        <w:rPr>
          <w:rFonts w:ascii="Times New Roman" w:hAnsi="Times New Roman" w:cs="Times New Roman"/>
          <w:bCs/>
          <w:sz w:val="24"/>
          <w:szCs w:val="24"/>
        </w:rPr>
        <w:t>”</w:t>
      </w:r>
      <w:r w:rsidR="00731080">
        <w:rPr>
          <w:rStyle w:val="FootnoteReference"/>
          <w:rFonts w:ascii="Times New Roman" w:hAnsi="Times New Roman" w:cs="Times New Roman"/>
          <w:bCs/>
          <w:szCs w:val="24"/>
        </w:rPr>
        <w:footnoteReference w:id="20"/>
      </w:r>
      <w:r w:rsidR="0059170A">
        <w:rPr>
          <w:rFonts w:ascii="Times New Roman" w:hAnsi="Times New Roman" w:cs="Times New Roman"/>
          <w:bCs/>
          <w:sz w:val="24"/>
          <w:szCs w:val="24"/>
        </w:rPr>
        <w:t xml:space="preserve"> Staff recommends approval of scenario 2, as requested by SPS, because of the risk of pursuing scenario 1 as a result of the relatively short amount of time before </w:t>
      </w:r>
      <w:r w:rsidR="009D588E">
        <w:rPr>
          <w:rFonts w:ascii="Times New Roman" w:hAnsi="Times New Roman" w:cs="Times New Roman"/>
          <w:bCs/>
          <w:sz w:val="24"/>
          <w:szCs w:val="24"/>
        </w:rPr>
        <w:t>January 1, 2025</w:t>
      </w:r>
      <w:r w:rsidR="0059170A">
        <w:rPr>
          <w:rFonts w:ascii="Times New Roman" w:hAnsi="Times New Roman" w:cs="Times New Roman"/>
          <w:bCs/>
          <w:sz w:val="24"/>
          <w:szCs w:val="24"/>
        </w:rPr>
        <w:t xml:space="preserve"> deadline to stop the use of coal at the Harrington </w:t>
      </w:r>
      <w:r w:rsidR="00EB5B07">
        <w:rPr>
          <w:rFonts w:ascii="Times New Roman" w:hAnsi="Times New Roman" w:cs="Times New Roman"/>
          <w:bCs/>
          <w:sz w:val="24"/>
          <w:szCs w:val="24"/>
        </w:rPr>
        <w:t>plant.</w:t>
      </w:r>
      <w:bookmarkEnd w:id="21"/>
    </w:p>
    <w:p w14:paraId="2656AA61" w14:textId="1E228EB3" w:rsidR="00C27E26" w:rsidRPr="00253D41" w:rsidRDefault="00C27E26" w:rsidP="009151D7">
      <w:pPr>
        <w:keepNext/>
        <w:spacing w:after="120" w:line="360" w:lineRule="auto"/>
        <w:ind w:firstLine="720"/>
        <w:jc w:val="both"/>
        <w:outlineLvl w:val="0"/>
        <w:rPr>
          <w:rFonts w:ascii="Times New Roman" w:hAnsi="Times New Roman" w:cs="Times New Roman"/>
          <w:bCs/>
          <w:sz w:val="24"/>
          <w:szCs w:val="24"/>
        </w:rPr>
      </w:pPr>
    </w:p>
    <w:p w14:paraId="7930D454" w14:textId="5D01A62D" w:rsidR="00AB6337" w:rsidRPr="00626552" w:rsidRDefault="00AB6337" w:rsidP="00626552">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22" w:name="_Toc103169720"/>
      <w:r>
        <w:rPr>
          <w:rFonts w:ascii="Times New Roman" w:eastAsia="Times New Roman" w:hAnsi="Times New Roman" w:cs="Times New Roman"/>
          <w:b/>
          <w:caps/>
          <w:sz w:val="24"/>
          <w:szCs w:val="24"/>
        </w:rPr>
        <w:t>CONDITIONS FOR APPROVAL (P.O. Issue No. 41)</w:t>
      </w:r>
      <w:bookmarkEnd w:id="22"/>
      <w:r>
        <w:rPr>
          <w:rFonts w:ascii="Times New Roman" w:eastAsia="Times New Roman" w:hAnsi="Times New Roman" w:cs="Times New Roman"/>
          <w:b/>
          <w:caps/>
          <w:sz w:val="24"/>
          <w:szCs w:val="24"/>
        </w:rPr>
        <w:t xml:space="preserve"> </w:t>
      </w:r>
    </w:p>
    <w:p w14:paraId="0FC67EE5" w14:textId="6ECDE58D" w:rsidR="00626552" w:rsidRDefault="00486710" w:rsidP="00C71806">
      <w:pPr>
        <w:spacing w:after="12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w:t>
      </w:r>
      <w:r w:rsidR="00DC211D">
        <w:rPr>
          <w:rFonts w:ascii="Times New Roman" w:eastAsia="Times New Roman" w:hAnsi="Times New Roman" w:cs="Times New Roman"/>
          <w:sz w:val="24"/>
          <w:szCs w:val="20"/>
        </w:rPr>
        <w:t xml:space="preserve">hough Staff recommends that the conversion of the Harrington </w:t>
      </w:r>
      <w:r w:rsidR="004D42AB">
        <w:rPr>
          <w:rFonts w:ascii="Times New Roman" w:eastAsia="Times New Roman" w:hAnsi="Times New Roman" w:cs="Times New Roman"/>
          <w:sz w:val="24"/>
          <w:szCs w:val="20"/>
        </w:rPr>
        <w:t>u</w:t>
      </w:r>
      <w:r w:rsidR="00DC211D">
        <w:rPr>
          <w:rFonts w:ascii="Times New Roman" w:eastAsia="Times New Roman" w:hAnsi="Times New Roman" w:cs="Times New Roman"/>
          <w:sz w:val="24"/>
          <w:szCs w:val="20"/>
        </w:rPr>
        <w:t xml:space="preserve">nits be </w:t>
      </w:r>
      <w:r w:rsidR="004D42AB">
        <w:rPr>
          <w:rFonts w:ascii="Times New Roman" w:eastAsia="Times New Roman" w:hAnsi="Times New Roman" w:cs="Times New Roman"/>
          <w:sz w:val="24"/>
          <w:szCs w:val="20"/>
        </w:rPr>
        <w:t>approved</w:t>
      </w:r>
      <w:r w:rsidR="00DC211D">
        <w:rPr>
          <w:rFonts w:ascii="Times New Roman" w:eastAsia="Times New Roman" w:hAnsi="Times New Roman" w:cs="Times New Roman"/>
          <w:sz w:val="24"/>
          <w:szCs w:val="20"/>
        </w:rPr>
        <w:t xml:space="preserve">, to protect SPS’s </w:t>
      </w:r>
      <w:r w:rsidR="00F36B33">
        <w:rPr>
          <w:rFonts w:ascii="Times New Roman" w:eastAsia="Times New Roman" w:hAnsi="Times New Roman" w:cs="Times New Roman"/>
          <w:sz w:val="24"/>
          <w:szCs w:val="20"/>
        </w:rPr>
        <w:t>cust</w:t>
      </w:r>
      <w:r w:rsidR="00474067">
        <w:rPr>
          <w:rFonts w:ascii="Times New Roman" w:eastAsia="Times New Roman" w:hAnsi="Times New Roman" w:cs="Times New Roman"/>
          <w:sz w:val="24"/>
          <w:szCs w:val="20"/>
        </w:rPr>
        <w:t>o</w:t>
      </w:r>
      <w:r w:rsidR="00F36B33">
        <w:rPr>
          <w:rFonts w:ascii="Times New Roman" w:eastAsia="Times New Roman" w:hAnsi="Times New Roman" w:cs="Times New Roman"/>
          <w:sz w:val="24"/>
          <w:szCs w:val="20"/>
        </w:rPr>
        <w:t>mers</w:t>
      </w:r>
      <w:r w:rsidR="00DC211D">
        <w:rPr>
          <w:rFonts w:ascii="Times New Roman" w:eastAsia="Times New Roman" w:hAnsi="Times New Roman" w:cs="Times New Roman"/>
          <w:sz w:val="24"/>
          <w:szCs w:val="20"/>
        </w:rPr>
        <w:t xml:space="preserve"> Staff requests that the following conditions be placed on SPS as part of approval of the project.</w:t>
      </w:r>
    </w:p>
    <w:p w14:paraId="4CCB87D7" w14:textId="53B7AD62" w:rsidR="00C71806" w:rsidRPr="00C71806" w:rsidRDefault="00C71806" w:rsidP="00C71806">
      <w:pPr>
        <w:pStyle w:val="ListParagraph"/>
        <w:keepNext/>
        <w:numPr>
          <w:ilvl w:val="0"/>
          <w:numId w:val="34"/>
        </w:numPr>
        <w:spacing w:after="120" w:line="360" w:lineRule="auto"/>
        <w:outlineLvl w:val="0"/>
        <w:rPr>
          <w:b/>
          <w:caps/>
          <w:sz w:val="24"/>
          <w:szCs w:val="24"/>
        </w:rPr>
      </w:pPr>
      <w:bookmarkStart w:id="23" w:name="_Toc103169721"/>
      <w:bookmarkStart w:id="24" w:name="_Hlk102721870"/>
      <w:r>
        <w:rPr>
          <w:b/>
          <w:sz w:val="24"/>
          <w:szCs w:val="24"/>
        </w:rPr>
        <w:t>Cost Cap</w:t>
      </w:r>
      <w:bookmarkEnd w:id="23"/>
      <w:r>
        <w:rPr>
          <w:b/>
          <w:sz w:val="24"/>
          <w:szCs w:val="24"/>
        </w:rPr>
        <w:t xml:space="preserve"> </w:t>
      </w:r>
    </w:p>
    <w:p w14:paraId="48836044" w14:textId="6BEC31AE" w:rsidR="00C71806" w:rsidRDefault="00692AD4" w:rsidP="00692AD4">
      <w:pPr>
        <w:keepNext/>
        <w:spacing w:after="120" w:line="360" w:lineRule="auto"/>
        <w:ind w:firstLine="720"/>
        <w:jc w:val="both"/>
        <w:outlineLvl w:val="0"/>
        <w:rPr>
          <w:rFonts w:ascii="Times New Roman" w:hAnsi="Times New Roman" w:cs="Times New Roman"/>
          <w:bCs/>
          <w:sz w:val="24"/>
          <w:szCs w:val="24"/>
        </w:rPr>
      </w:pPr>
      <w:bookmarkStart w:id="25" w:name="_Toc103169722"/>
      <w:bookmarkEnd w:id="24"/>
      <w:r>
        <w:rPr>
          <w:rFonts w:ascii="Times New Roman" w:hAnsi="Times New Roman" w:cs="Times New Roman"/>
          <w:bCs/>
          <w:sz w:val="24"/>
          <w:szCs w:val="24"/>
        </w:rPr>
        <w:t xml:space="preserve">Staff recommends that a cost </w:t>
      </w:r>
      <w:r w:rsidR="00B20ED7">
        <w:rPr>
          <w:rFonts w:ascii="Times New Roman" w:hAnsi="Times New Roman" w:cs="Times New Roman"/>
          <w:bCs/>
          <w:sz w:val="24"/>
          <w:szCs w:val="24"/>
        </w:rPr>
        <w:t xml:space="preserve">recovery </w:t>
      </w:r>
      <w:r>
        <w:rPr>
          <w:rFonts w:ascii="Times New Roman" w:hAnsi="Times New Roman" w:cs="Times New Roman"/>
          <w:bCs/>
          <w:sz w:val="24"/>
          <w:szCs w:val="24"/>
        </w:rPr>
        <w:t>cap of $</w:t>
      </w:r>
      <w:r w:rsidR="00EB5B07">
        <w:rPr>
          <w:rFonts w:ascii="Times New Roman" w:hAnsi="Times New Roman" w:cs="Times New Roman"/>
          <w:bCs/>
          <w:sz w:val="24"/>
          <w:szCs w:val="24"/>
        </w:rPr>
        <w:t>70</w:t>
      </w:r>
      <w:r>
        <w:rPr>
          <w:rFonts w:ascii="Times New Roman" w:hAnsi="Times New Roman" w:cs="Times New Roman"/>
          <w:bCs/>
          <w:sz w:val="24"/>
          <w:szCs w:val="24"/>
        </w:rPr>
        <w:t xml:space="preserve"> million</w:t>
      </w:r>
      <w:r w:rsidR="00F36B33">
        <w:rPr>
          <w:rFonts w:ascii="Times New Roman" w:hAnsi="Times New Roman" w:cs="Times New Roman"/>
          <w:bCs/>
          <w:sz w:val="24"/>
          <w:szCs w:val="24"/>
        </w:rPr>
        <w:t>, including allowance for funds used during construction (AFUDC),</w:t>
      </w:r>
      <w:r>
        <w:rPr>
          <w:rFonts w:ascii="Times New Roman" w:hAnsi="Times New Roman" w:cs="Times New Roman"/>
          <w:bCs/>
          <w:sz w:val="24"/>
          <w:szCs w:val="24"/>
        </w:rPr>
        <w:t xml:space="preserve"> be imposed on the project to protect </w:t>
      </w:r>
      <w:r w:rsidR="00B20ED7">
        <w:rPr>
          <w:rFonts w:ascii="Times New Roman" w:hAnsi="Times New Roman" w:cs="Times New Roman"/>
          <w:bCs/>
          <w:sz w:val="24"/>
          <w:szCs w:val="24"/>
        </w:rPr>
        <w:t>customers</w:t>
      </w:r>
      <w:r>
        <w:rPr>
          <w:rFonts w:ascii="Times New Roman" w:hAnsi="Times New Roman" w:cs="Times New Roman"/>
          <w:bCs/>
          <w:sz w:val="24"/>
          <w:szCs w:val="24"/>
        </w:rPr>
        <w:t xml:space="preserve"> from potential cost overruns. Staff recommends this condition (1) to act consistently with past commission </w:t>
      </w:r>
      <w:r>
        <w:rPr>
          <w:rFonts w:ascii="Times New Roman" w:hAnsi="Times New Roman" w:cs="Times New Roman"/>
          <w:bCs/>
          <w:sz w:val="24"/>
          <w:szCs w:val="24"/>
        </w:rPr>
        <w:lastRenderedPageBreak/>
        <w:t xml:space="preserve">precedent; </w:t>
      </w:r>
      <w:r w:rsidR="00486710">
        <w:rPr>
          <w:rFonts w:ascii="Times New Roman" w:hAnsi="Times New Roman" w:cs="Times New Roman"/>
          <w:bCs/>
          <w:sz w:val="24"/>
          <w:szCs w:val="24"/>
        </w:rPr>
        <w:t xml:space="preserve">and </w:t>
      </w:r>
      <w:r w:rsidR="00CF2246">
        <w:rPr>
          <w:rFonts w:ascii="Times New Roman" w:hAnsi="Times New Roman" w:cs="Times New Roman"/>
          <w:bCs/>
          <w:sz w:val="24"/>
          <w:szCs w:val="24"/>
        </w:rPr>
        <w:t>(</w:t>
      </w:r>
      <w:r w:rsidR="00745182">
        <w:rPr>
          <w:rFonts w:ascii="Times New Roman" w:hAnsi="Times New Roman" w:cs="Times New Roman"/>
          <w:bCs/>
          <w:sz w:val="24"/>
          <w:szCs w:val="24"/>
        </w:rPr>
        <w:t>2</w:t>
      </w:r>
      <w:r w:rsidR="00CF2246">
        <w:rPr>
          <w:rFonts w:ascii="Times New Roman" w:hAnsi="Times New Roman" w:cs="Times New Roman"/>
          <w:bCs/>
          <w:sz w:val="24"/>
          <w:szCs w:val="24"/>
        </w:rPr>
        <w:t>)</w:t>
      </w:r>
      <w:r w:rsidR="006A1468" w:rsidRPr="006A1468">
        <w:rPr>
          <w:rFonts w:ascii="Times New Roman" w:hAnsi="Times New Roman" w:cs="Times New Roman"/>
          <w:bCs/>
          <w:sz w:val="24"/>
          <w:szCs w:val="24"/>
        </w:rPr>
        <w:t xml:space="preserve"> </w:t>
      </w:r>
      <w:r w:rsidR="006A1468">
        <w:rPr>
          <w:rFonts w:ascii="Times New Roman" w:hAnsi="Times New Roman" w:cs="Times New Roman"/>
          <w:bCs/>
          <w:sz w:val="24"/>
          <w:szCs w:val="24"/>
        </w:rPr>
        <w:t xml:space="preserve">because SPS </w:t>
      </w:r>
      <w:r w:rsidR="006E7A4D">
        <w:rPr>
          <w:rFonts w:ascii="Times New Roman" w:hAnsi="Times New Roman" w:cs="Times New Roman"/>
          <w:bCs/>
          <w:sz w:val="24"/>
          <w:szCs w:val="24"/>
        </w:rPr>
        <w:t>should</w:t>
      </w:r>
      <w:r w:rsidR="006A1468">
        <w:rPr>
          <w:rFonts w:ascii="Times New Roman" w:hAnsi="Times New Roman" w:cs="Times New Roman"/>
          <w:bCs/>
          <w:sz w:val="24"/>
          <w:szCs w:val="24"/>
        </w:rPr>
        <w:t xml:space="preserve"> have filed its application sooner to give the Commission the opportunity to require </w:t>
      </w:r>
      <w:r w:rsidR="00EB5B07">
        <w:rPr>
          <w:rFonts w:ascii="Times New Roman" w:hAnsi="Times New Roman" w:cs="Times New Roman"/>
          <w:bCs/>
          <w:sz w:val="24"/>
          <w:szCs w:val="24"/>
        </w:rPr>
        <w:t xml:space="preserve">further </w:t>
      </w:r>
      <w:r w:rsidR="006A1468">
        <w:rPr>
          <w:rFonts w:ascii="Times New Roman" w:hAnsi="Times New Roman" w:cs="Times New Roman"/>
          <w:bCs/>
          <w:sz w:val="24"/>
          <w:szCs w:val="24"/>
        </w:rPr>
        <w:t>evaluation of alternatives</w:t>
      </w:r>
      <w:r w:rsidR="00486710">
        <w:rPr>
          <w:rFonts w:ascii="Times New Roman" w:hAnsi="Times New Roman" w:cs="Times New Roman"/>
          <w:bCs/>
          <w:sz w:val="24"/>
          <w:szCs w:val="24"/>
        </w:rPr>
        <w:t xml:space="preserve"> to the conversion project</w:t>
      </w:r>
      <w:r w:rsidR="006A1468">
        <w:rPr>
          <w:rFonts w:ascii="Times New Roman" w:hAnsi="Times New Roman" w:cs="Times New Roman"/>
          <w:bCs/>
          <w:sz w:val="24"/>
          <w:szCs w:val="24"/>
        </w:rPr>
        <w:t>.</w:t>
      </w:r>
      <w:bookmarkEnd w:id="25"/>
    </w:p>
    <w:p w14:paraId="744618C1" w14:textId="0CCF85A8" w:rsidR="00CF2246" w:rsidRDefault="00CF2246" w:rsidP="00692AD4">
      <w:pPr>
        <w:keepNext/>
        <w:spacing w:after="120" w:line="360" w:lineRule="auto"/>
        <w:ind w:firstLine="720"/>
        <w:jc w:val="both"/>
        <w:outlineLvl w:val="0"/>
        <w:rPr>
          <w:rFonts w:ascii="Times New Roman" w:hAnsi="Times New Roman" w:cs="Times New Roman"/>
          <w:bCs/>
          <w:sz w:val="24"/>
          <w:szCs w:val="24"/>
        </w:rPr>
      </w:pPr>
      <w:bookmarkStart w:id="26" w:name="_Toc103169723"/>
      <w:r>
        <w:rPr>
          <w:rFonts w:ascii="Times New Roman" w:hAnsi="Times New Roman" w:cs="Times New Roman"/>
          <w:bCs/>
          <w:sz w:val="24"/>
          <w:szCs w:val="24"/>
        </w:rPr>
        <w:t>Staff’s first argument for imposing a cost cap on the project is that it is consistent with Commission precedent.</w:t>
      </w:r>
      <w:r>
        <w:rPr>
          <w:rStyle w:val="FootnoteReference"/>
          <w:rFonts w:ascii="Times New Roman" w:hAnsi="Times New Roman" w:cs="Times New Roman"/>
          <w:bCs/>
          <w:szCs w:val="24"/>
        </w:rPr>
        <w:footnoteReference w:id="21"/>
      </w:r>
      <w:r w:rsidR="0071066D">
        <w:rPr>
          <w:rFonts w:ascii="Times New Roman" w:hAnsi="Times New Roman" w:cs="Times New Roman"/>
          <w:bCs/>
          <w:sz w:val="24"/>
          <w:szCs w:val="24"/>
        </w:rPr>
        <w:t xml:space="preserve"> In Docket No. 33891, the Commission implemented a cost cap on a coal facility </w:t>
      </w:r>
      <w:r w:rsidR="00486710">
        <w:rPr>
          <w:rFonts w:ascii="Times New Roman" w:hAnsi="Times New Roman" w:cs="Times New Roman"/>
          <w:bCs/>
          <w:sz w:val="24"/>
          <w:szCs w:val="24"/>
        </w:rPr>
        <w:t xml:space="preserve">even though no party had proposed one </w:t>
      </w:r>
      <w:r w:rsidR="0071066D">
        <w:rPr>
          <w:rFonts w:ascii="Times New Roman" w:hAnsi="Times New Roman" w:cs="Times New Roman"/>
          <w:bCs/>
          <w:sz w:val="24"/>
          <w:szCs w:val="24"/>
        </w:rPr>
        <w:t xml:space="preserve">and reasoned that Texas customers should not be responsible for </w:t>
      </w:r>
      <w:r w:rsidR="00D16357">
        <w:rPr>
          <w:rFonts w:ascii="Times New Roman" w:hAnsi="Times New Roman" w:cs="Times New Roman"/>
          <w:bCs/>
          <w:sz w:val="24"/>
          <w:szCs w:val="24"/>
        </w:rPr>
        <w:t xml:space="preserve">any </w:t>
      </w:r>
      <w:r w:rsidR="0071066D">
        <w:rPr>
          <w:rFonts w:ascii="Times New Roman" w:hAnsi="Times New Roman" w:cs="Times New Roman"/>
          <w:bCs/>
          <w:sz w:val="24"/>
          <w:szCs w:val="24"/>
        </w:rPr>
        <w:t>additional costs bor</w:t>
      </w:r>
      <w:r w:rsidR="00B20ED7">
        <w:rPr>
          <w:rFonts w:ascii="Times New Roman" w:hAnsi="Times New Roman" w:cs="Times New Roman"/>
          <w:bCs/>
          <w:sz w:val="24"/>
          <w:szCs w:val="24"/>
        </w:rPr>
        <w:t>n</w:t>
      </w:r>
      <w:r w:rsidR="0071066D">
        <w:rPr>
          <w:rFonts w:ascii="Times New Roman" w:hAnsi="Times New Roman" w:cs="Times New Roman"/>
          <w:bCs/>
          <w:sz w:val="24"/>
          <w:szCs w:val="24"/>
        </w:rPr>
        <w:t>e out of increased material or labor costs.</w:t>
      </w:r>
      <w:r w:rsidR="0071066D">
        <w:rPr>
          <w:rStyle w:val="FootnoteReference"/>
          <w:rFonts w:ascii="Times New Roman" w:hAnsi="Times New Roman" w:cs="Times New Roman"/>
          <w:bCs/>
          <w:szCs w:val="24"/>
        </w:rPr>
        <w:footnoteReference w:id="22"/>
      </w:r>
      <w:r w:rsidR="0071066D">
        <w:rPr>
          <w:rFonts w:ascii="Times New Roman" w:hAnsi="Times New Roman" w:cs="Times New Roman"/>
          <w:bCs/>
          <w:sz w:val="24"/>
          <w:szCs w:val="24"/>
        </w:rPr>
        <w:t xml:space="preserve"> </w:t>
      </w:r>
      <w:r w:rsidR="00486710">
        <w:rPr>
          <w:rFonts w:ascii="Times New Roman" w:hAnsi="Times New Roman" w:cs="Times New Roman"/>
          <w:bCs/>
          <w:sz w:val="24"/>
          <w:szCs w:val="24"/>
        </w:rPr>
        <w:t xml:space="preserve">In the current docket, AXM witness Norwood proposed a </w:t>
      </w:r>
      <w:r w:rsidR="00571020">
        <w:rPr>
          <w:rFonts w:ascii="Times New Roman" w:hAnsi="Times New Roman" w:cs="Times New Roman"/>
          <w:bCs/>
          <w:sz w:val="24"/>
          <w:szCs w:val="24"/>
        </w:rPr>
        <w:t xml:space="preserve">“soft” </w:t>
      </w:r>
      <w:r w:rsidR="00486710">
        <w:rPr>
          <w:rFonts w:ascii="Times New Roman" w:hAnsi="Times New Roman" w:cs="Times New Roman"/>
          <w:bCs/>
          <w:sz w:val="24"/>
          <w:szCs w:val="24"/>
        </w:rPr>
        <w:t>cost cap of $70 million</w:t>
      </w:r>
      <w:r w:rsidR="00571020">
        <w:rPr>
          <w:rFonts w:ascii="Times New Roman" w:hAnsi="Times New Roman" w:cs="Times New Roman"/>
          <w:bCs/>
          <w:sz w:val="24"/>
          <w:szCs w:val="24"/>
        </w:rPr>
        <w:t>, which amount is the midpoint of SPS’s estimated range of capital costs for the conversion project</w:t>
      </w:r>
      <w:r w:rsidR="00D16357">
        <w:rPr>
          <w:rFonts w:ascii="Times New Roman" w:hAnsi="Times New Roman" w:cs="Times New Roman"/>
          <w:bCs/>
          <w:sz w:val="24"/>
          <w:szCs w:val="24"/>
        </w:rPr>
        <w:t>.</w:t>
      </w:r>
      <w:r w:rsidR="00486710">
        <w:rPr>
          <w:rStyle w:val="FootnoteReference"/>
          <w:rFonts w:ascii="Times New Roman" w:hAnsi="Times New Roman" w:cs="Times New Roman"/>
          <w:bCs/>
          <w:szCs w:val="24"/>
        </w:rPr>
        <w:footnoteReference w:id="23"/>
      </w:r>
      <w:r w:rsidR="00486710">
        <w:rPr>
          <w:rFonts w:ascii="Times New Roman" w:hAnsi="Times New Roman" w:cs="Times New Roman"/>
          <w:bCs/>
          <w:sz w:val="24"/>
          <w:szCs w:val="24"/>
        </w:rPr>
        <w:t xml:space="preserve">  </w:t>
      </w:r>
      <w:r w:rsidR="00571020">
        <w:rPr>
          <w:rFonts w:ascii="Times New Roman" w:hAnsi="Times New Roman" w:cs="Times New Roman"/>
          <w:bCs/>
          <w:sz w:val="24"/>
          <w:szCs w:val="24"/>
        </w:rPr>
        <w:t>Staff recommends a cost cap of $70 million and that the cap b</w:t>
      </w:r>
      <w:r w:rsidR="00720413">
        <w:rPr>
          <w:rFonts w:ascii="Times New Roman" w:hAnsi="Times New Roman" w:cs="Times New Roman"/>
          <w:bCs/>
          <w:sz w:val="24"/>
          <w:szCs w:val="24"/>
        </w:rPr>
        <w:t>e</w:t>
      </w:r>
      <w:r w:rsidR="00571020">
        <w:rPr>
          <w:rFonts w:ascii="Times New Roman" w:hAnsi="Times New Roman" w:cs="Times New Roman"/>
          <w:bCs/>
          <w:sz w:val="24"/>
          <w:szCs w:val="24"/>
        </w:rPr>
        <w:t xml:space="preserve"> “hard</w:t>
      </w:r>
      <w:r w:rsidR="00D16357">
        <w:rPr>
          <w:rFonts w:ascii="Times New Roman" w:hAnsi="Times New Roman" w:cs="Times New Roman"/>
          <w:bCs/>
          <w:sz w:val="24"/>
          <w:szCs w:val="24"/>
        </w:rPr>
        <w:t>,</w:t>
      </w:r>
      <w:r w:rsidR="00571020">
        <w:rPr>
          <w:rFonts w:ascii="Times New Roman" w:hAnsi="Times New Roman" w:cs="Times New Roman"/>
          <w:bCs/>
          <w:sz w:val="24"/>
          <w:szCs w:val="24"/>
        </w:rPr>
        <w:t>” consistent with Commission precedent.</w:t>
      </w:r>
      <w:bookmarkEnd w:id="26"/>
    </w:p>
    <w:p w14:paraId="7E929ED4" w14:textId="54C76AD9" w:rsidR="006A1468" w:rsidRDefault="006A1468" w:rsidP="006A1468">
      <w:pPr>
        <w:keepNext/>
        <w:spacing w:after="120" w:line="360" w:lineRule="auto"/>
        <w:ind w:firstLine="720"/>
        <w:jc w:val="both"/>
        <w:outlineLvl w:val="0"/>
        <w:rPr>
          <w:rFonts w:ascii="Times New Roman" w:hAnsi="Times New Roman" w:cs="Times New Roman"/>
          <w:bCs/>
          <w:sz w:val="24"/>
          <w:szCs w:val="24"/>
        </w:rPr>
      </w:pPr>
      <w:bookmarkStart w:id="27" w:name="_Toc103169724"/>
      <w:r>
        <w:rPr>
          <w:rFonts w:ascii="Times New Roman" w:hAnsi="Times New Roman" w:cs="Times New Roman"/>
          <w:bCs/>
          <w:sz w:val="24"/>
          <w:szCs w:val="24"/>
        </w:rPr>
        <w:t xml:space="preserve">The </w:t>
      </w:r>
      <w:r w:rsidR="00745182">
        <w:rPr>
          <w:rFonts w:ascii="Times New Roman" w:hAnsi="Times New Roman" w:cs="Times New Roman"/>
          <w:bCs/>
          <w:sz w:val="24"/>
          <w:szCs w:val="24"/>
        </w:rPr>
        <w:t xml:space="preserve">other reason that Staff recommends a cost cap is </w:t>
      </w:r>
      <w:r>
        <w:rPr>
          <w:rFonts w:ascii="Times New Roman" w:hAnsi="Times New Roman" w:cs="Times New Roman"/>
          <w:bCs/>
          <w:sz w:val="24"/>
          <w:szCs w:val="24"/>
        </w:rPr>
        <w:t xml:space="preserve">the timing of the filing of SPS’s application. </w:t>
      </w:r>
      <w:r w:rsidR="00A124AC">
        <w:rPr>
          <w:rFonts w:ascii="Times New Roman" w:hAnsi="Times New Roman" w:cs="Times New Roman"/>
          <w:bCs/>
          <w:sz w:val="24"/>
          <w:szCs w:val="24"/>
        </w:rPr>
        <w:t>Because</w:t>
      </w:r>
      <w:r>
        <w:rPr>
          <w:rFonts w:ascii="Times New Roman" w:hAnsi="Times New Roman" w:cs="Times New Roman"/>
          <w:bCs/>
          <w:sz w:val="24"/>
          <w:szCs w:val="24"/>
        </w:rPr>
        <w:t xml:space="preserve"> SPS </w:t>
      </w:r>
      <w:r w:rsidR="00A124AC">
        <w:rPr>
          <w:rFonts w:ascii="Times New Roman" w:hAnsi="Times New Roman" w:cs="Times New Roman"/>
          <w:bCs/>
          <w:sz w:val="24"/>
          <w:szCs w:val="24"/>
        </w:rPr>
        <w:t>did not initiate</w:t>
      </w:r>
      <w:r>
        <w:rPr>
          <w:rFonts w:ascii="Times New Roman" w:hAnsi="Times New Roman" w:cs="Times New Roman"/>
          <w:bCs/>
          <w:sz w:val="24"/>
          <w:szCs w:val="24"/>
        </w:rPr>
        <w:t xml:space="preserve"> this proceeding until </w:t>
      </w:r>
      <w:r w:rsidR="00F74E8B">
        <w:rPr>
          <w:rFonts w:ascii="Times New Roman" w:hAnsi="Times New Roman" w:cs="Times New Roman"/>
          <w:bCs/>
          <w:sz w:val="24"/>
          <w:szCs w:val="24"/>
        </w:rPr>
        <w:t>August 27, 2021</w:t>
      </w:r>
      <w:r>
        <w:rPr>
          <w:rFonts w:ascii="Times New Roman" w:hAnsi="Times New Roman" w:cs="Times New Roman"/>
          <w:bCs/>
          <w:sz w:val="24"/>
          <w:szCs w:val="24"/>
        </w:rPr>
        <w:t xml:space="preserve">, </w:t>
      </w:r>
      <w:r w:rsidR="00A124AC">
        <w:rPr>
          <w:rFonts w:ascii="Times New Roman" w:hAnsi="Times New Roman" w:cs="Times New Roman"/>
          <w:bCs/>
          <w:sz w:val="24"/>
          <w:szCs w:val="24"/>
        </w:rPr>
        <w:t xml:space="preserve">the option for the Commission to require SPS to further evaluate alternatives to SPS’s proposal and possibly implement an alternative to that proposal </w:t>
      </w:r>
      <w:r w:rsidR="00F74E8B">
        <w:rPr>
          <w:rFonts w:ascii="Times New Roman" w:hAnsi="Times New Roman" w:cs="Times New Roman"/>
          <w:bCs/>
          <w:sz w:val="24"/>
          <w:szCs w:val="24"/>
        </w:rPr>
        <w:t>ha</w:t>
      </w:r>
      <w:r w:rsidR="00745182">
        <w:rPr>
          <w:rFonts w:ascii="Times New Roman" w:hAnsi="Times New Roman" w:cs="Times New Roman"/>
          <w:bCs/>
          <w:sz w:val="24"/>
          <w:szCs w:val="24"/>
        </w:rPr>
        <w:t>s</w:t>
      </w:r>
      <w:r w:rsidR="00F74E8B">
        <w:rPr>
          <w:rFonts w:ascii="Times New Roman" w:hAnsi="Times New Roman" w:cs="Times New Roman"/>
          <w:bCs/>
          <w:sz w:val="24"/>
          <w:szCs w:val="24"/>
        </w:rPr>
        <w:t xml:space="preserve"> been unduly limited because of the relatively short period before SPS must no longer use coal at the Harrington </w:t>
      </w:r>
      <w:r w:rsidR="00D16357">
        <w:rPr>
          <w:rFonts w:ascii="Times New Roman" w:hAnsi="Times New Roman" w:cs="Times New Roman"/>
          <w:bCs/>
          <w:sz w:val="24"/>
          <w:szCs w:val="24"/>
        </w:rPr>
        <w:t>Station</w:t>
      </w:r>
      <w:r w:rsidR="00F74E8B">
        <w:rPr>
          <w:rFonts w:ascii="Times New Roman" w:hAnsi="Times New Roman" w:cs="Times New Roman"/>
          <w:bCs/>
          <w:sz w:val="24"/>
          <w:szCs w:val="24"/>
        </w:rPr>
        <w:t>.</w:t>
      </w:r>
      <w:bookmarkEnd w:id="27"/>
    </w:p>
    <w:p w14:paraId="55418F20" w14:textId="697D1C3A" w:rsidR="00F74E8B" w:rsidRDefault="00F74E8B" w:rsidP="00F74E8B">
      <w:pPr>
        <w:keepNext/>
        <w:spacing w:after="120" w:line="360" w:lineRule="auto"/>
        <w:ind w:firstLine="720"/>
        <w:jc w:val="both"/>
        <w:outlineLvl w:val="0"/>
        <w:rPr>
          <w:rFonts w:ascii="Times New Roman" w:hAnsi="Times New Roman" w:cs="Times New Roman"/>
          <w:bCs/>
          <w:sz w:val="24"/>
          <w:szCs w:val="24"/>
        </w:rPr>
      </w:pPr>
      <w:bookmarkStart w:id="28" w:name="_Toc103169725"/>
      <w:r>
        <w:rPr>
          <w:rFonts w:ascii="Times New Roman" w:hAnsi="Times New Roman" w:cs="Times New Roman"/>
          <w:bCs/>
          <w:sz w:val="24"/>
          <w:szCs w:val="24"/>
        </w:rPr>
        <w:t>SPS became aware of changes to the National Ambient Air Quality Standards (NAAQS) as a part of the Clean Air Act in 2010.</w:t>
      </w:r>
      <w:r>
        <w:rPr>
          <w:rStyle w:val="FootnoteReference"/>
          <w:rFonts w:ascii="Times New Roman" w:hAnsi="Times New Roman" w:cs="Times New Roman"/>
          <w:bCs/>
          <w:szCs w:val="24"/>
        </w:rPr>
        <w:footnoteReference w:id="24"/>
      </w:r>
      <w:r>
        <w:rPr>
          <w:rFonts w:ascii="Times New Roman" w:hAnsi="Times New Roman" w:cs="Times New Roman"/>
          <w:bCs/>
          <w:sz w:val="24"/>
          <w:szCs w:val="24"/>
        </w:rPr>
        <w:t xml:space="preserve"> As a result of the NAAQS changes, in 2016 the TCEQ installed a monitor in the vicinity of the Harrington Station to collect emission data.</w:t>
      </w:r>
      <w:r>
        <w:rPr>
          <w:rStyle w:val="FootnoteReference"/>
          <w:rFonts w:ascii="Times New Roman" w:hAnsi="Times New Roman" w:cs="Times New Roman"/>
          <w:bCs/>
          <w:szCs w:val="24"/>
        </w:rPr>
        <w:footnoteReference w:id="25"/>
      </w:r>
      <w:r>
        <w:rPr>
          <w:rFonts w:ascii="Times New Roman" w:hAnsi="Times New Roman" w:cs="Times New Roman"/>
          <w:bCs/>
          <w:sz w:val="24"/>
          <w:szCs w:val="24"/>
        </w:rPr>
        <w:t xml:space="preserve"> This emission data was collected from 2017 to 2019.</w:t>
      </w:r>
      <w:r>
        <w:rPr>
          <w:rStyle w:val="FootnoteReference"/>
          <w:rFonts w:ascii="Times New Roman" w:hAnsi="Times New Roman" w:cs="Times New Roman"/>
          <w:bCs/>
          <w:szCs w:val="24"/>
        </w:rPr>
        <w:footnoteReference w:id="26"/>
      </w:r>
      <w:r>
        <w:rPr>
          <w:rFonts w:ascii="Times New Roman" w:hAnsi="Times New Roman" w:cs="Times New Roman"/>
          <w:bCs/>
          <w:sz w:val="24"/>
          <w:szCs w:val="24"/>
        </w:rPr>
        <w:t xml:space="preserve"> In December of 2019, a report was published, which determined that three years of air quality monitoring data showed that the air emissions exceeded the NAAQS standard during that period.</w:t>
      </w:r>
      <w:r>
        <w:rPr>
          <w:rStyle w:val="FootnoteReference"/>
          <w:rFonts w:ascii="Times New Roman" w:hAnsi="Times New Roman" w:cs="Times New Roman"/>
          <w:bCs/>
          <w:szCs w:val="24"/>
        </w:rPr>
        <w:footnoteReference w:id="27"/>
      </w:r>
      <w:r>
        <w:rPr>
          <w:rFonts w:ascii="Times New Roman" w:hAnsi="Times New Roman" w:cs="Times New Roman"/>
          <w:bCs/>
          <w:sz w:val="24"/>
          <w:szCs w:val="24"/>
        </w:rPr>
        <w:t xml:space="preserve"> Before that report was published, SPS began evaluating alternatives for conversion or retirement of the Harrington </w:t>
      </w:r>
      <w:r w:rsidR="00745182">
        <w:rPr>
          <w:rFonts w:ascii="Times New Roman" w:hAnsi="Times New Roman" w:cs="Times New Roman"/>
          <w:bCs/>
          <w:sz w:val="24"/>
          <w:szCs w:val="24"/>
        </w:rPr>
        <w:t>u</w:t>
      </w:r>
      <w:r>
        <w:rPr>
          <w:rFonts w:ascii="Times New Roman" w:hAnsi="Times New Roman" w:cs="Times New Roman"/>
          <w:bCs/>
          <w:sz w:val="24"/>
          <w:szCs w:val="24"/>
        </w:rPr>
        <w:t>nits as a part of SPS’s economic analysis of the site.</w:t>
      </w:r>
      <w:r>
        <w:rPr>
          <w:rStyle w:val="FootnoteReference"/>
          <w:rFonts w:ascii="Times New Roman" w:hAnsi="Times New Roman" w:cs="Times New Roman"/>
          <w:bCs/>
          <w:szCs w:val="24"/>
        </w:rPr>
        <w:footnoteReference w:id="28"/>
      </w:r>
      <w:r>
        <w:rPr>
          <w:rFonts w:ascii="Times New Roman" w:hAnsi="Times New Roman" w:cs="Times New Roman"/>
          <w:bCs/>
          <w:sz w:val="24"/>
          <w:szCs w:val="24"/>
        </w:rPr>
        <w:t xml:space="preserve"> After that evaluation, SPS entered into an agreement with TCEQ </w:t>
      </w:r>
      <w:r>
        <w:rPr>
          <w:rFonts w:ascii="Times New Roman" w:hAnsi="Times New Roman" w:cs="Times New Roman"/>
          <w:bCs/>
          <w:sz w:val="24"/>
          <w:szCs w:val="24"/>
        </w:rPr>
        <w:lastRenderedPageBreak/>
        <w:t>in October of 2020 to take the necessary steps to bring the units into compliance with NAAQS requirements and avert a “nonattainment” designation for the Harrington units.</w:t>
      </w:r>
      <w:r>
        <w:rPr>
          <w:rStyle w:val="FootnoteReference"/>
          <w:rFonts w:ascii="Times New Roman" w:hAnsi="Times New Roman" w:cs="Times New Roman"/>
          <w:bCs/>
          <w:szCs w:val="24"/>
        </w:rPr>
        <w:footnoteReference w:id="29"/>
      </w:r>
      <w:bookmarkEnd w:id="28"/>
    </w:p>
    <w:p w14:paraId="71204CFB" w14:textId="5C003E13" w:rsidR="009740C0" w:rsidRPr="00C71806" w:rsidRDefault="009740C0" w:rsidP="00692AD4">
      <w:pPr>
        <w:keepNext/>
        <w:spacing w:after="120" w:line="360" w:lineRule="auto"/>
        <w:ind w:firstLine="720"/>
        <w:jc w:val="both"/>
        <w:outlineLvl w:val="0"/>
        <w:rPr>
          <w:rFonts w:ascii="Times New Roman" w:hAnsi="Times New Roman" w:cs="Times New Roman"/>
          <w:bCs/>
          <w:sz w:val="24"/>
          <w:szCs w:val="24"/>
        </w:rPr>
      </w:pPr>
      <w:bookmarkStart w:id="29" w:name="_Toc103169726"/>
      <w:r>
        <w:rPr>
          <w:rFonts w:ascii="Times New Roman" w:hAnsi="Times New Roman" w:cs="Times New Roman"/>
          <w:bCs/>
          <w:sz w:val="24"/>
          <w:szCs w:val="24"/>
        </w:rPr>
        <w:t xml:space="preserve">Staff </w:t>
      </w:r>
      <w:r w:rsidR="00745182">
        <w:rPr>
          <w:rFonts w:ascii="Times New Roman" w:hAnsi="Times New Roman" w:cs="Times New Roman"/>
          <w:bCs/>
          <w:sz w:val="24"/>
          <w:szCs w:val="24"/>
        </w:rPr>
        <w:t>recommends</w:t>
      </w:r>
      <w:r>
        <w:rPr>
          <w:rFonts w:ascii="Times New Roman" w:hAnsi="Times New Roman" w:cs="Times New Roman"/>
          <w:bCs/>
          <w:sz w:val="24"/>
          <w:szCs w:val="24"/>
        </w:rPr>
        <w:t xml:space="preserve"> that, based upon the reasoning outlined above, SPS should have a cost </w:t>
      </w:r>
      <w:r w:rsidR="003A1AF1">
        <w:rPr>
          <w:rFonts w:ascii="Times New Roman" w:hAnsi="Times New Roman" w:cs="Times New Roman"/>
          <w:bCs/>
          <w:sz w:val="24"/>
          <w:szCs w:val="24"/>
        </w:rPr>
        <w:t xml:space="preserve">recovery </w:t>
      </w:r>
      <w:r>
        <w:rPr>
          <w:rFonts w:ascii="Times New Roman" w:hAnsi="Times New Roman" w:cs="Times New Roman"/>
          <w:bCs/>
          <w:sz w:val="24"/>
          <w:szCs w:val="24"/>
        </w:rPr>
        <w:t xml:space="preserve">cap imposed for the </w:t>
      </w:r>
      <w:r w:rsidR="00D16357">
        <w:rPr>
          <w:rFonts w:ascii="Times New Roman" w:hAnsi="Times New Roman" w:cs="Times New Roman"/>
          <w:bCs/>
          <w:sz w:val="24"/>
          <w:szCs w:val="24"/>
        </w:rPr>
        <w:t xml:space="preserve">conversion </w:t>
      </w:r>
      <w:r>
        <w:rPr>
          <w:rFonts w:ascii="Times New Roman" w:hAnsi="Times New Roman" w:cs="Times New Roman"/>
          <w:bCs/>
          <w:sz w:val="24"/>
          <w:szCs w:val="24"/>
        </w:rPr>
        <w:t>project of $</w:t>
      </w:r>
      <w:r w:rsidR="00F74E8B">
        <w:rPr>
          <w:rFonts w:ascii="Times New Roman" w:hAnsi="Times New Roman" w:cs="Times New Roman"/>
          <w:bCs/>
          <w:sz w:val="24"/>
          <w:szCs w:val="24"/>
        </w:rPr>
        <w:t>70</w:t>
      </w:r>
      <w:r>
        <w:rPr>
          <w:rFonts w:ascii="Times New Roman" w:hAnsi="Times New Roman" w:cs="Times New Roman"/>
          <w:bCs/>
          <w:sz w:val="24"/>
          <w:szCs w:val="24"/>
        </w:rPr>
        <w:t xml:space="preserve"> million</w:t>
      </w:r>
      <w:r w:rsidR="00D16357">
        <w:rPr>
          <w:rFonts w:ascii="Times New Roman" w:hAnsi="Times New Roman" w:cs="Times New Roman"/>
          <w:bCs/>
          <w:sz w:val="24"/>
          <w:szCs w:val="24"/>
        </w:rPr>
        <w:t>, including AFUDC</w:t>
      </w:r>
      <w:r>
        <w:rPr>
          <w:rFonts w:ascii="Times New Roman" w:hAnsi="Times New Roman" w:cs="Times New Roman"/>
          <w:bCs/>
          <w:sz w:val="24"/>
          <w:szCs w:val="24"/>
        </w:rPr>
        <w:t>.</w:t>
      </w:r>
      <w:bookmarkEnd w:id="29"/>
      <w:r>
        <w:rPr>
          <w:rFonts w:ascii="Times New Roman" w:hAnsi="Times New Roman" w:cs="Times New Roman"/>
          <w:bCs/>
          <w:sz w:val="24"/>
          <w:szCs w:val="24"/>
        </w:rPr>
        <w:t xml:space="preserve"> </w:t>
      </w:r>
    </w:p>
    <w:p w14:paraId="48B8A297" w14:textId="55D34D43" w:rsidR="004F46C5" w:rsidRPr="00C71806" w:rsidRDefault="004F46C5" w:rsidP="004F46C5">
      <w:pPr>
        <w:pStyle w:val="ListParagraph"/>
        <w:keepNext/>
        <w:numPr>
          <w:ilvl w:val="0"/>
          <w:numId w:val="34"/>
        </w:numPr>
        <w:spacing w:after="120" w:line="360" w:lineRule="auto"/>
        <w:outlineLvl w:val="0"/>
        <w:rPr>
          <w:b/>
          <w:caps/>
          <w:sz w:val="24"/>
          <w:szCs w:val="24"/>
        </w:rPr>
      </w:pPr>
      <w:bookmarkStart w:id="30" w:name="_Toc103169727"/>
      <w:r>
        <w:rPr>
          <w:b/>
          <w:sz w:val="24"/>
          <w:szCs w:val="24"/>
        </w:rPr>
        <w:t>New Mexico IRP</w:t>
      </w:r>
      <w:bookmarkEnd w:id="30"/>
    </w:p>
    <w:p w14:paraId="53FDBFEC" w14:textId="09CFBE4F" w:rsidR="004F46C5" w:rsidRDefault="00C0040E" w:rsidP="004F46C5">
      <w:pPr>
        <w:spacing w:after="12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As explained above in sub</w:t>
      </w:r>
      <w:r w:rsidR="00624B4E">
        <w:rPr>
          <w:rFonts w:ascii="Times New Roman" w:eastAsia="Times New Roman" w:hAnsi="Times New Roman" w:cs="Times New Roman"/>
          <w:sz w:val="24"/>
          <w:szCs w:val="20"/>
        </w:rPr>
        <w:t xml:space="preserve">section </w:t>
      </w:r>
      <w:r w:rsidR="0067553F">
        <w:rPr>
          <w:rFonts w:ascii="Times New Roman" w:eastAsia="Times New Roman" w:hAnsi="Times New Roman" w:cs="Times New Roman"/>
          <w:sz w:val="24"/>
          <w:szCs w:val="20"/>
        </w:rPr>
        <w:t>A</w:t>
      </w:r>
      <w:r w:rsidR="00192332">
        <w:rPr>
          <w:rFonts w:ascii="Times New Roman" w:eastAsia="Times New Roman" w:hAnsi="Times New Roman" w:cs="Times New Roman"/>
          <w:sz w:val="24"/>
          <w:szCs w:val="20"/>
        </w:rPr>
        <w:t xml:space="preserve">, SPS asserts that it must promptly obtain a decision from the Commission </w:t>
      </w:r>
      <w:proofErr w:type="gramStart"/>
      <w:r w:rsidR="00192332">
        <w:rPr>
          <w:rFonts w:ascii="Times New Roman" w:eastAsia="Times New Roman" w:hAnsi="Times New Roman" w:cs="Times New Roman"/>
          <w:sz w:val="24"/>
          <w:szCs w:val="20"/>
        </w:rPr>
        <w:t>in order to</w:t>
      </w:r>
      <w:proofErr w:type="gramEnd"/>
      <w:r w:rsidR="00192332">
        <w:rPr>
          <w:rFonts w:ascii="Times New Roman" w:eastAsia="Times New Roman" w:hAnsi="Times New Roman" w:cs="Times New Roman"/>
          <w:sz w:val="24"/>
          <w:szCs w:val="20"/>
        </w:rPr>
        <w:t xml:space="preserve"> meet the 2024 year-end deadline to stop burning coal to fuel the three Harrington units.  New Mexico requires that SPS file an </w:t>
      </w:r>
      <w:r w:rsidR="002E2D9A">
        <w:rPr>
          <w:rFonts w:ascii="Times New Roman" w:eastAsia="Times New Roman" w:hAnsi="Times New Roman" w:cs="Times New Roman"/>
          <w:sz w:val="24"/>
          <w:szCs w:val="20"/>
        </w:rPr>
        <w:t>IRP</w:t>
      </w:r>
      <w:r w:rsidR="00192332">
        <w:rPr>
          <w:rFonts w:ascii="Times New Roman" w:eastAsia="Times New Roman" w:hAnsi="Times New Roman" w:cs="Times New Roman"/>
          <w:sz w:val="24"/>
          <w:szCs w:val="20"/>
        </w:rPr>
        <w:t xml:space="preserve"> every </w:t>
      </w:r>
      <w:r w:rsidR="0067553F">
        <w:rPr>
          <w:rFonts w:ascii="Times New Roman" w:eastAsia="Times New Roman" w:hAnsi="Times New Roman" w:cs="Times New Roman"/>
          <w:sz w:val="24"/>
          <w:szCs w:val="20"/>
        </w:rPr>
        <w:t>three</w:t>
      </w:r>
      <w:r w:rsidR="002F26B1">
        <w:rPr>
          <w:rFonts w:ascii="Times New Roman" w:eastAsia="Times New Roman" w:hAnsi="Times New Roman" w:cs="Times New Roman"/>
          <w:sz w:val="24"/>
          <w:szCs w:val="20"/>
        </w:rPr>
        <w:t xml:space="preserve"> </w:t>
      </w:r>
      <w:r w:rsidR="00192332">
        <w:rPr>
          <w:rFonts w:ascii="Times New Roman" w:eastAsia="Times New Roman" w:hAnsi="Times New Roman" w:cs="Times New Roman"/>
          <w:sz w:val="24"/>
          <w:szCs w:val="20"/>
        </w:rPr>
        <w:t>years</w:t>
      </w:r>
      <w:r w:rsidR="00C20D7C">
        <w:rPr>
          <w:rStyle w:val="FootnoteReference"/>
          <w:rFonts w:ascii="Times New Roman" w:eastAsia="Times New Roman" w:hAnsi="Times New Roman" w:cs="Times New Roman"/>
          <w:szCs w:val="20"/>
        </w:rPr>
        <w:footnoteReference w:id="30"/>
      </w:r>
      <w:r w:rsidR="00192332">
        <w:rPr>
          <w:rFonts w:ascii="Times New Roman" w:eastAsia="Times New Roman" w:hAnsi="Times New Roman" w:cs="Times New Roman"/>
          <w:sz w:val="24"/>
          <w:szCs w:val="20"/>
        </w:rPr>
        <w:t xml:space="preserve"> that forecasts systems needs and resources </w:t>
      </w:r>
      <w:r w:rsidR="002F26B1">
        <w:rPr>
          <w:rFonts w:ascii="Times New Roman" w:eastAsia="Times New Roman" w:hAnsi="Times New Roman" w:cs="Times New Roman"/>
          <w:sz w:val="24"/>
          <w:szCs w:val="20"/>
        </w:rPr>
        <w:t xml:space="preserve">20 </w:t>
      </w:r>
      <w:r w:rsidR="00192332">
        <w:rPr>
          <w:rFonts w:ascii="Times New Roman" w:eastAsia="Times New Roman" w:hAnsi="Times New Roman" w:cs="Times New Roman"/>
          <w:sz w:val="24"/>
          <w:szCs w:val="20"/>
        </w:rPr>
        <w:t>years</w:t>
      </w:r>
      <w:r w:rsidR="00C20D7C">
        <w:rPr>
          <w:rStyle w:val="FootnoteReference"/>
          <w:rFonts w:ascii="Times New Roman" w:eastAsia="Times New Roman" w:hAnsi="Times New Roman" w:cs="Times New Roman"/>
          <w:szCs w:val="20"/>
        </w:rPr>
        <w:footnoteReference w:id="31"/>
      </w:r>
      <w:r w:rsidR="00192332">
        <w:rPr>
          <w:rFonts w:ascii="Times New Roman" w:eastAsia="Times New Roman" w:hAnsi="Times New Roman" w:cs="Times New Roman"/>
          <w:sz w:val="24"/>
          <w:szCs w:val="20"/>
        </w:rPr>
        <w:t xml:space="preserve"> into the future. </w:t>
      </w:r>
      <w:r w:rsidR="004F46C5">
        <w:rPr>
          <w:rFonts w:ascii="Times New Roman" w:eastAsia="Times New Roman" w:hAnsi="Times New Roman" w:cs="Times New Roman"/>
          <w:sz w:val="24"/>
          <w:szCs w:val="20"/>
        </w:rPr>
        <w:t xml:space="preserve">Staff recommends that a compliance </w:t>
      </w:r>
      <w:r w:rsidR="00192332">
        <w:rPr>
          <w:rFonts w:ascii="Times New Roman" w:eastAsia="Times New Roman" w:hAnsi="Times New Roman" w:cs="Times New Roman"/>
          <w:sz w:val="24"/>
          <w:szCs w:val="20"/>
        </w:rPr>
        <w:t>project</w:t>
      </w:r>
      <w:r w:rsidR="004F46C5">
        <w:rPr>
          <w:rFonts w:ascii="Times New Roman" w:eastAsia="Times New Roman" w:hAnsi="Times New Roman" w:cs="Times New Roman"/>
          <w:sz w:val="24"/>
          <w:szCs w:val="20"/>
        </w:rPr>
        <w:t xml:space="preserve"> be opened in which SPS is required to file </w:t>
      </w:r>
      <w:r w:rsidR="00192332">
        <w:rPr>
          <w:rFonts w:ascii="Times New Roman" w:eastAsia="Times New Roman" w:hAnsi="Times New Roman" w:cs="Times New Roman"/>
          <w:sz w:val="24"/>
          <w:szCs w:val="20"/>
        </w:rPr>
        <w:t xml:space="preserve">its IRP within two working days of its filing in New Mexico. This information would allow </w:t>
      </w:r>
      <w:r w:rsidR="00C15E72">
        <w:rPr>
          <w:rFonts w:ascii="Times New Roman" w:eastAsia="Times New Roman" w:hAnsi="Times New Roman" w:cs="Times New Roman"/>
          <w:sz w:val="24"/>
          <w:szCs w:val="20"/>
        </w:rPr>
        <w:t xml:space="preserve">Staff and interested entities in Texas ready access to information about SPS’s resource needs. Although it is SPS’s responsibility to file generation CCN applications </w:t>
      </w:r>
      <w:r w:rsidR="00624B4E">
        <w:rPr>
          <w:rFonts w:ascii="Times New Roman" w:eastAsia="Times New Roman" w:hAnsi="Times New Roman" w:cs="Times New Roman"/>
          <w:sz w:val="24"/>
          <w:szCs w:val="20"/>
        </w:rPr>
        <w:t xml:space="preserve">in time </w:t>
      </w:r>
      <w:r w:rsidR="00C15E72">
        <w:rPr>
          <w:rFonts w:ascii="Times New Roman" w:eastAsia="Times New Roman" w:hAnsi="Times New Roman" w:cs="Times New Roman"/>
          <w:sz w:val="24"/>
          <w:szCs w:val="20"/>
        </w:rPr>
        <w:t xml:space="preserve">to give the Commission time to evaluate, and SPS to implement, </w:t>
      </w:r>
      <w:r w:rsidR="00624B4E">
        <w:rPr>
          <w:rFonts w:ascii="Times New Roman" w:eastAsia="Times New Roman" w:hAnsi="Times New Roman" w:cs="Times New Roman"/>
          <w:sz w:val="24"/>
          <w:szCs w:val="20"/>
        </w:rPr>
        <w:t xml:space="preserve">reasonable </w:t>
      </w:r>
      <w:r w:rsidR="00C15E72">
        <w:rPr>
          <w:rFonts w:ascii="Times New Roman" w:eastAsia="Times New Roman" w:hAnsi="Times New Roman" w:cs="Times New Roman"/>
          <w:sz w:val="24"/>
          <w:szCs w:val="20"/>
        </w:rPr>
        <w:t>alternatives, the filing of SPS’s IRP could allow Staff or an interested entity to timely raise concerns with SPS’s resource planning activities, in advance of SPS filing an application for a generation CCN.</w:t>
      </w:r>
      <w:r w:rsidR="00C51EC9">
        <w:rPr>
          <w:rFonts w:ascii="Times New Roman" w:eastAsia="Times New Roman" w:hAnsi="Times New Roman" w:cs="Times New Roman"/>
          <w:sz w:val="24"/>
          <w:szCs w:val="20"/>
        </w:rPr>
        <w:t xml:space="preserve"> SPS should be allowed to request termination of this requirement in its next CCN application for generation resources.</w:t>
      </w:r>
    </w:p>
    <w:p w14:paraId="4A116703" w14:textId="25B67BA8" w:rsidR="00284F76" w:rsidRPr="00C71806" w:rsidRDefault="00284F76" w:rsidP="00284F76">
      <w:pPr>
        <w:pStyle w:val="ListParagraph"/>
        <w:keepNext/>
        <w:numPr>
          <w:ilvl w:val="0"/>
          <w:numId w:val="34"/>
        </w:numPr>
        <w:spacing w:after="120" w:line="360" w:lineRule="auto"/>
        <w:outlineLvl w:val="0"/>
        <w:rPr>
          <w:b/>
          <w:caps/>
          <w:sz w:val="24"/>
          <w:szCs w:val="24"/>
        </w:rPr>
      </w:pPr>
      <w:bookmarkStart w:id="31" w:name="_Toc103169728"/>
      <w:r>
        <w:rPr>
          <w:b/>
          <w:sz w:val="24"/>
          <w:szCs w:val="24"/>
        </w:rPr>
        <w:t>Depreciation Rates</w:t>
      </w:r>
      <w:bookmarkEnd w:id="31"/>
      <w:r>
        <w:rPr>
          <w:b/>
          <w:sz w:val="24"/>
          <w:szCs w:val="24"/>
        </w:rPr>
        <w:t xml:space="preserve"> </w:t>
      </w:r>
    </w:p>
    <w:p w14:paraId="773F14E4" w14:textId="7C76ADA7" w:rsidR="00284F76" w:rsidRDefault="00284F76" w:rsidP="007E5949">
      <w:pPr>
        <w:spacing w:after="12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Staff recommends that </w:t>
      </w:r>
      <w:r w:rsidR="007E5949">
        <w:rPr>
          <w:rFonts w:ascii="Times New Roman" w:eastAsia="Times New Roman" w:hAnsi="Times New Roman" w:cs="Times New Roman"/>
          <w:sz w:val="24"/>
          <w:szCs w:val="20"/>
        </w:rPr>
        <w:t xml:space="preserve">depreciation rates and service </w:t>
      </w:r>
      <w:r w:rsidR="00B5494B">
        <w:rPr>
          <w:rFonts w:ascii="Times New Roman" w:eastAsia="Times New Roman" w:hAnsi="Times New Roman" w:cs="Times New Roman"/>
          <w:sz w:val="24"/>
          <w:szCs w:val="20"/>
        </w:rPr>
        <w:t>lives</w:t>
      </w:r>
      <w:r w:rsidR="007E5949">
        <w:rPr>
          <w:rFonts w:ascii="Times New Roman" w:eastAsia="Times New Roman" w:hAnsi="Times New Roman" w:cs="Times New Roman"/>
          <w:sz w:val="24"/>
          <w:szCs w:val="20"/>
        </w:rPr>
        <w:t xml:space="preserve"> for the converted units and the gas pipeline </w:t>
      </w:r>
      <w:r w:rsidR="00B5494B">
        <w:rPr>
          <w:rFonts w:ascii="Times New Roman" w:eastAsia="Times New Roman" w:hAnsi="Times New Roman" w:cs="Times New Roman"/>
          <w:sz w:val="24"/>
          <w:szCs w:val="20"/>
        </w:rPr>
        <w:t>not be addressed in this docket</w:t>
      </w:r>
      <w:r w:rsidR="007E5949">
        <w:rPr>
          <w:rFonts w:ascii="Times New Roman" w:eastAsia="Times New Roman" w:hAnsi="Times New Roman" w:cs="Times New Roman"/>
          <w:sz w:val="24"/>
          <w:szCs w:val="20"/>
        </w:rPr>
        <w:t xml:space="preserve">, consistent with Commission precedent. </w:t>
      </w:r>
    </w:p>
    <w:p w14:paraId="1C9DA02A" w14:textId="48B2CAF3" w:rsidR="007E5949" w:rsidRDefault="007E5949" w:rsidP="007E5949">
      <w:pPr>
        <w:spacing w:after="12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Office of Public Utility Counsel (OPUC) witness Karl Nalepa recommended that depreciation of the Harrington Units not be accelerated and be treated consistent with the treatment of early retirements in Dockets Nos. 51415 and 46449.</w:t>
      </w:r>
      <w:r>
        <w:rPr>
          <w:rStyle w:val="FootnoteReference"/>
          <w:rFonts w:ascii="Times New Roman" w:eastAsia="Times New Roman" w:hAnsi="Times New Roman" w:cs="Times New Roman"/>
          <w:szCs w:val="20"/>
        </w:rPr>
        <w:footnoteReference w:id="32"/>
      </w:r>
      <w:r w:rsidR="005F69DC">
        <w:rPr>
          <w:rFonts w:ascii="Times New Roman" w:eastAsia="Times New Roman" w:hAnsi="Times New Roman" w:cs="Times New Roman"/>
          <w:sz w:val="24"/>
          <w:szCs w:val="20"/>
        </w:rPr>
        <w:t xml:space="preserve"> Further, Mr. Nalepa recommended that the gas pipeline to be constructed as a part of the conversion be given a 70-year service life as opposed to a service life of 12 to 16 years consistent with the remaining service life of the </w:t>
      </w:r>
      <w:r w:rsidR="005F69DC">
        <w:rPr>
          <w:rFonts w:ascii="Times New Roman" w:eastAsia="Times New Roman" w:hAnsi="Times New Roman" w:cs="Times New Roman"/>
          <w:sz w:val="24"/>
          <w:szCs w:val="20"/>
        </w:rPr>
        <w:lastRenderedPageBreak/>
        <w:t>Harrington Units.</w:t>
      </w:r>
      <w:r w:rsidR="005F69DC">
        <w:rPr>
          <w:rStyle w:val="FootnoteReference"/>
          <w:rFonts w:ascii="Times New Roman" w:eastAsia="Times New Roman" w:hAnsi="Times New Roman" w:cs="Times New Roman"/>
          <w:szCs w:val="20"/>
        </w:rPr>
        <w:footnoteReference w:id="33"/>
      </w:r>
      <w:r w:rsidR="005F69DC">
        <w:rPr>
          <w:rFonts w:ascii="Times New Roman" w:eastAsia="Times New Roman" w:hAnsi="Times New Roman" w:cs="Times New Roman"/>
          <w:sz w:val="24"/>
          <w:szCs w:val="20"/>
        </w:rPr>
        <w:t xml:space="preserve"> Commission precedent dictates that issues such as depreciation and service life are rate issues, and the Commission has stated that these rate issues should be addressed in a rate proceeding and not in a generation CCN proceeding.</w:t>
      </w:r>
      <w:r w:rsidR="005F69DC">
        <w:rPr>
          <w:rStyle w:val="FootnoteReference"/>
          <w:rFonts w:ascii="Times New Roman" w:eastAsia="Times New Roman" w:hAnsi="Times New Roman" w:cs="Times New Roman"/>
          <w:szCs w:val="20"/>
        </w:rPr>
        <w:footnoteReference w:id="34"/>
      </w:r>
      <w:r w:rsidR="005F69DC">
        <w:rPr>
          <w:rFonts w:ascii="Times New Roman" w:eastAsia="Times New Roman" w:hAnsi="Times New Roman" w:cs="Times New Roman"/>
          <w:sz w:val="24"/>
          <w:szCs w:val="20"/>
        </w:rPr>
        <w:t xml:space="preserve"> Mr. Nalepa’s own citations indicate this is so as both examples of the treatment he is seeking for the Harrington </w:t>
      </w:r>
      <w:r w:rsidR="00B5494B">
        <w:rPr>
          <w:rFonts w:ascii="Times New Roman" w:eastAsia="Times New Roman" w:hAnsi="Times New Roman" w:cs="Times New Roman"/>
          <w:sz w:val="24"/>
          <w:szCs w:val="20"/>
        </w:rPr>
        <w:t>u</w:t>
      </w:r>
      <w:r w:rsidR="005F69DC">
        <w:rPr>
          <w:rFonts w:ascii="Times New Roman" w:eastAsia="Times New Roman" w:hAnsi="Times New Roman" w:cs="Times New Roman"/>
          <w:sz w:val="24"/>
          <w:szCs w:val="20"/>
        </w:rPr>
        <w:t xml:space="preserve">nits’ service </w:t>
      </w:r>
      <w:r w:rsidR="00B5494B">
        <w:rPr>
          <w:rFonts w:ascii="Times New Roman" w:eastAsia="Times New Roman" w:hAnsi="Times New Roman" w:cs="Times New Roman"/>
          <w:sz w:val="24"/>
          <w:szCs w:val="20"/>
        </w:rPr>
        <w:t>lives</w:t>
      </w:r>
      <w:r w:rsidR="005F69DC">
        <w:rPr>
          <w:rFonts w:ascii="Times New Roman" w:eastAsia="Times New Roman" w:hAnsi="Times New Roman" w:cs="Times New Roman"/>
          <w:sz w:val="24"/>
          <w:szCs w:val="20"/>
        </w:rPr>
        <w:t xml:space="preserve"> are rate proceedings and not generation CCN proceedings.</w:t>
      </w:r>
      <w:r w:rsidR="005F69DC">
        <w:rPr>
          <w:rStyle w:val="FootnoteReference"/>
          <w:rFonts w:ascii="Times New Roman" w:eastAsia="Times New Roman" w:hAnsi="Times New Roman" w:cs="Times New Roman"/>
          <w:szCs w:val="20"/>
        </w:rPr>
        <w:footnoteReference w:id="35"/>
      </w:r>
      <w:r w:rsidR="00013CD3">
        <w:rPr>
          <w:rFonts w:ascii="Times New Roman" w:eastAsia="Times New Roman" w:hAnsi="Times New Roman" w:cs="Times New Roman"/>
          <w:sz w:val="24"/>
          <w:szCs w:val="20"/>
        </w:rPr>
        <w:t xml:space="preserve"> Staff does agree with Mr. Nalepa that these issues need to be addressed but this is not the correct proceeding to do so.</w:t>
      </w:r>
    </w:p>
    <w:p w14:paraId="5AB8D082" w14:textId="77777777" w:rsidR="00DC211D" w:rsidRPr="00626552" w:rsidRDefault="00DC211D" w:rsidP="00DC211D">
      <w:pPr>
        <w:spacing w:after="0" w:line="240" w:lineRule="auto"/>
        <w:jc w:val="both"/>
        <w:rPr>
          <w:rFonts w:ascii="Times New Roman" w:eastAsia="Times New Roman" w:hAnsi="Times New Roman" w:cs="Times New Roman"/>
          <w:sz w:val="24"/>
          <w:szCs w:val="20"/>
        </w:rPr>
      </w:pPr>
    </w:p>
    <w:p w14:paraId="26D8D92C" w14:textId="77777777" w:rsidR="008B52BC" w:rsidRPr="008B52BC" w:rsidRDefault="008B52BC" w:rsidP="008B52BC">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32" w:name="_Toc34653786"/>
      <w:bookmarkStart w:id="33" w:name="_Toc103169729"/>
      <w:r w:rsidRPr="008B52BC">
        <w:rPr>
          <w:rFonts w:ascii="Times New Roman" w:eastAsia="Times New Roman" w:hAnsi="Times New Roman" w:cs="Times New Roman"/>
          <w:b/>
          <w:caps/>
          <w:sz w:val="24"/>
          <w:szCs w:val="24"/>
        </w:rPr>
        <w:t>PIPELINE ROUTE (P.O. Issue NoS. 2, 23, 24, 25, 26, 27, 28, 29)</w:t>
      </w:r>
      <w:bookmarkEnd w:id="32"/>
      <w:bookmarkEnd w:id="33"/>
    </w:p>
    <w:p w14:paraId="68104506" w14:textId="72A3CDE7" w:rsidR="008B52BC" w:rsidRPr="008B52BC" w:rsidRDefault="00AB1D4C" w:rsidP="008B52BC">
      <w:pPr>
        <w:keepNext/>
        <w:spacing w:after="0"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Based on the testimony of Staff witness John Poole, </w:t>
      </w:r>
      <w:r w:rsidR="008B52BC" w:rsidRPr="008B52BC">
        <w:rPr>
          <w:rFonts w:ascii="Times New Roman" w:eastAsia="Times New Roman" w:hAnsi="Times New Roman" w:cs="Times New Roman"/>
          <w:bCs/>
          <w:sz w:val="24"/>
          <w:szCs w:val="24"/>
        </w:rPr>
        <w:t>Staff recommends Route 2 as the route that best meets PURA and the Commission’s criteria. In its letter dated October 27, 2021,</w:t>
      </w:r>
      <w:r w:rsidR="007D069E">
        <w:rPr>
          <w:rFonts w:ascii="Times New Roman" w:eastAsia="Times New Roman" w:hAnsi="Times New Roman" w:cs="Times New Roman"/>
          <w:bCs/>
          <w:sz w:val="24"/>
          <w:szCs w:val="24"/>
        </w:rPr>
        <w:t xml:space="preserve"> </w:t>
      </w:r>
      <w:r w:rsidR="007D069E">
        <w:rPr>
          <w:rFonts w:ascii="Times New Roman" w:hAnsi="Times New Roman" w:cs="Times New Roman"/>
          <w:sz w:val="24"/>
          <w:szCs w:val="24"/>
        </w:rPr>
        <w:t>Texas Parks and Wildlife Department (</w:t>
      </w:r>
      <w:r w:rsidR="008B52BC" w:rsidRPr="008B52BC">
        <w:rPr>
          <w:rFonts w:ascii="Times New Roman" w:eastAsia="Times New Roman" w:hAnsi="Times New Roman" w:cs="Times New Roman"/>
          <w:bCs/>
          <w:sz w:val="24"/>
          <w:szCs w:val="24"/>
        </w:rPr>
        <w:t>TPWD</w:t>
      </w:r>
      <w:r w:rsidR="007D069E">
        <w:rPr>
          <w:rFonts w:ascii="Times New Roman" w:eastAsia="Times New Roman" w:hAnsi="Times New Roman" w:cs="Times New Roman"/>
          <w:bCs/>
          <w:sz w:val="24"/>
          <w:szCs w:val="24"/>
        </w:rPr>
        <w:t>)</w:t>
      </w:r>
      <w:r w:rsidR="008B52BC" w:rsidRPr="008B52BC">
        <w:rPr>
          <w:rFonts w:ascii="Times New Roman" w:eastAsia="Times New Roman" w:hAnsi="Times New Roman" w:cs="Times New Roman"/>
          <w:bCs/>
          <w:sz w:val="24"/>
          <w:szCs w:val="24"/>
        </w:rPr>
        <w:t xml:space="preserve"> selected Route 2 as the route having the least potential impact on environmental integrity.</w:t>
      </w:r>
      <w:r w:rsidR="008B52BC" w:rsidRPr="008B52BC">
        <w:rPr>
          <w:rFonts w:ascii="Times New Roman" w:eastAsia="Times New Roman" w:hAnsi="Times New Roman" w:cs="Times New Roman"/>
          <w:sz w:val="24"/>
          <w:szCs w:val="24"/>
          <w:vertAlign w:val="superscript"/>
        </w:rPr>
        <w:footnoteReference w:id="36"/>
      </w:r>
      <w:r w:rsidR="008B52BC" w:rsidRPr="008B52BC">
        <w:rPr>
          <w:rFonts w:ascii="Times New Roman" w:eastAsia="Times New Roman" w:hAnsi="Times New Roman" w:cs="Times New Roman"/>
          <w:bCs/>
          <w:sz w:val="24"/>
          <w:szCs w:val="24"/>
        </w:rPr>
        <w:t xml:space="preserve"> Parties did not propose alternative or modified routes to be considered. Staff did not identify any specific engineering constraints that are not present in a usual pipeline project, particularly</w:t>
      </w:r>
      <w:r w:rsidR="008B52BC" w:rsidRPr="008B52BC">
        <w:rPr>
          <w:rFonts w:ascii="Times New Roman" w:hAnsi="Times New Roman" w:cs="Times New Roman"/>
          <w:color w:val="7030A0"/>
          <w:sz w:val="24"/>
          <w:szCs w:val="24"/>
        </w:rPr>
        <w:t xml:space="preserve"> </w:t>
      </w:r>
      <w:r w:rsidR="008B52BC" w:rsidRPr="008B52BC">
        <w:rPr>
          <w:rFonts w:ascii="Times New Roman" w:eastAsia="Times New Roman" w:hAnsi="Times New Roman" w:cs="Times New Roman"/>
          <w:bCs/>
          <w:sz w:val="24"/>
          <w:szCs w:val="24"/>
        </w:rPr>
        <w:t>in an area without significant changes in elevation. Staff noted that all the possible constraints can be adequately addressed by using design and construction practices and techniques that are usual and customary</w:t>
      </w:r>
      <w:r w:rsidR="008B52BC" w:rsidRPr="008B52BC">
        <w:rPr>
          <w:rFonts w:ascii="Times New Roman" w:hAnsi="Times New Roman" w:cs="Times New Roman"/>
          <w:sz w:val="24"/>
          <w:szCs w:val="24"/>
        </w:rPr>
        <w:t>.</w:t>
      </w:r>
      <w:r w:rsidR="008B52BC" w:rsidRPr="008B52BC">
        <w:rPr>
          <w:rFonts w:ascii="Times New Roman" w:hAnsi="Times New Roman" w:cs="Times New Roman"/>
          <w:position w:val="6"/>
          <w:sz w:val="16"/>
          <w:szCs w:val="24"/>
        </w:rPr>
        <w:footnoteReference w:id="37"/>
      </w:r>
      <w:r w:rsidR="008B52BC" w:rsidRPr="008B52BC">
        <w:rPr>
          <w:rFonts w:ascii="Times New Roman" w:eastAsia="Times New Roman" w:hAnsi="Times New Roman" w:cs="Times New Roman"/>
          <w:bCs/>
          <w:sz w:val="24"/>
          <w:szCs w:val="24"/>
        </w:rPr>
        <w:t xml:space="preserve">  </w:t>
      </w:r>
    </w:p>
    <w:p w14:paraId="5334E16D" w14:textId="77777777" w:rsidR="008B52BC" w:rsidRPr="008B52BC" w:rsidRDefault="008B52BC" w:rsidP="008B52BC">
      <w:pPr>
        <w:keepNext/>
        <w:widowControl w:val="0"/>
        <w:numPr>
          <w:ilvl w:val="0"/>
          <w:numId w:val="36"/>
        </w:numPr>
        <w:autoSpaceDE w:val="0"/>
        <w:autoSpaceDN w:val="0"/>
        <w:spacing w:before="137" w:after="120" w:line="240" w:lineRule="auto"/>
        <w:outlineLvl w:val="0"/>
        <w:rPr>
          <w:rFonts w:ascii="Times New Roman" w:eastAsia="Times New Roman" w:hAnsi="Times New Roman" w:cs="Times New Roman"/>
          <w:b/>
          <w:caps/>
          <w:sz w:val="24"/>
          <w:szCs w:val="24"/>
          <w:lang w:bidi="en-US"/>
        </w:rPr>
      </w:pPr>
      <w:bookmarkStart w:id="34" w:name="_Toc103169730"/>
      <w:r w:rsidRPr="008B52BC">
        <w:rPr>
          <w:rFonts w:ascii="Times New Roman" w:eastAsia="Times New Roman" w:hAnsi="Times New Roman" w:cs="Times New Roman"/>
          <w:b/>
          <w:sz w:val="24"/>
          <w:szCs w:val="24"/>
          <w:lang w:bidi="en-US"/>
        </w:rPr>
        <w:t>Adequacy of Possible Routes</w:t>
      </w:r>
      <w:bookmarkEnd w:id="34"/>
      <w:r w:rsidRPr="008B52BC">
        <w:rPr>
          <w:rFonts w:ascii="Times New Roman" w:eastAsia="Times New Roman" w:hAnsi="Times New Roman" w:cs="Times New Roman"/>
          <w:b/>
          <w:sz w:val="24"/>
          <w:szCs w:val="24"/>
          <w:lang w:bidi="en-US"/>
        </w:rPr>
        <w:t xml:space="preserve"> </w:t>
      </w:r>
    </w:p>
    <w:p w14:paraId="2EB9022B" w14:textId="77777777" w:rsidR="008B52BC" w:rsidRPr="008B52BC" w:rsidRDefault="008B52BC" w:rsidP="00692AD4">
      <w:pPr>
        <w:spacing w:after="120" w:line="360" w:lineRule="auto"/>
        <w:ind w:firstLine="720"/>
        <w:jc w:val="both"/>
        <w:rPr>
          <w:rFonts w:ascii="Times New Roman" w:hAnsi="Times New Roman" w:cs="Times New Roman"/>
          <w:sz w:val="24"/>
          <w:szCs w:val="24"/>
        </w:rPr>
      </w:pPr>
      <w:r w:rsidRPr="008B52BC">
        <w:rPr>
          <w:rFonts w:ascii="Times New Roman" w:hAnsi="Times New Roman" w:cs="Times New Roman"/>
          <w:sz w:val="24"/>
          <w:szCs w:val="24"/>
        </w:rPr>
        <w:t>SPS proposed a total of four routes that would run approximately 19.01 to 21.75 miles to the Harrington Generating Station.</w:t>
      </w:r>
      <w:r w:rsidRPr="008B52BC">
        <w:rPr>
          <w:rFonts w:ascii="Times New Roman" w:hAnsi="Times New Roman" w:cs="Times New Roman"/>
          <w:position w:val="6"/>
          <w:sz w:val="16"/>
        </w:rPr>
        <w:footnoteReference w:id="38"/>
      </w:r>
      <w:r w:rsidRPr="008B52BC">
        <w:rPr>
          <w:rFonts w:ascii="Times New Roman" w:hAnsi="Times New Roman" w:cs="Times New Roman"/>
          <w:szCs w:val="24"/>
        </w:rPr>
        <w:t xml:space="preserve"> </w:t>
      </w:r>
      <w:r w:rsidRPr="008B52BC">
        <w:rPr>
          <w:rFonts w:ascii="Times New Roman" w:hAnsi="Times New Roman" w:cs="Times New Roman"/>
          <w:sz w:val="24"/>
          <w:szCs w:val="24"/>
        </w:rPr>
        <w:t>SPS included all four routes in the notice of the application. It is Staff’s position that SPS has presented an adequate number of reasonably differentiated alternative routes based on number and geographic diversity in its application.</w:t>
      </w:r>
      <w:r w:rsidRPr="008B52BC">
        <w:rPr>
          <w:rFonts w:ascii="Times New Roman" w:hAnsi="Times New Roman" w:cs="Times New Roman"/>
          <w:position w:val="6"/>
          <w:sz w:val="16"/>
          <w:szCs w:val="24"/>
        </w:rPr>
        <w:footnoteReference w:id="39"/>
      </w:r>
    </w:p>
    <w:p w14:paraId="0A94F0DC" w14:textId="77777777" w:rsidR="008B52BC" w:rsidRPr="008B52BC" w:rsidRDefault="008B52BC" w:rsidP="008B52BC">
      <w:pPr>
        <w:widowControl w:val="0"/>
        <w:numPr>
          <w:ilvl w:val="0"/>
          <w:numId w:val="36"/>
        </w:numPr>
        <w:autoSpaceDE w:val="0"/>
        <w:autoSpaceDN w:val="0"/>
        <w:spacing w:before="137" w:after="120" w:line="360" w:lineRule="auto"/>
        <w:rPr>
          <w:rFonts w:ascii="Times New Roman" w:eastAsia="Times New Roman" w:hAnsi="Times New Roman" w:cs="Times New Roman"/>
          <w:b/>
          <w:bCs/>
          <w:sz w:val="24"/>
          <w:szCs w:val="24"/>
          <w:lang w:bidi="en-US"/>
        </w:rPr>
      </w:pPr>
      <w:r w:rsidRPr="008B52BC">
        <w:rPr>
          <w:rFonts w:ascii="Times New Roman" w:eastAsia="Times New Roman" w:hAnsi="Times New Roman" w:cs="Times New Roman"/>
          <w:b/>
          <w:bCs/>
          <w:sz w:val="24"/>
          <w:szCs w:val="24"/>
          <w:lang w:bidi="en-US"/>
        </w:rPr>
        <w:t>Staff’s Routing Recommendation</w:t>
      </w:r>
    </w:p>
    <w:p w14:paraId="0EE8D51B" w14:textId="153B6274" w:rsidR="008B52BC" w:rsidRPr="008B52BC" w:rsidRDefault="008B52BC" w:rsidP="008B52BC">
      <w:pPr>
        <w:keepNext/>
        <w:spacing w:after="0" w:line="360" w:lineRule="auto"/>
        <w:ind w:firstLine="720"/>
        <w:jc w:val="both"/>
        <w:rPr>
          <w:rFonts w:ascii="Times New Roman" w:eastAsia="Times New Roman" w:hAnsi="Times New Roman" w:cs="Times New Roman"/>
          <w:bCs/>
          <w:sz w:val="24"/>
          <w:szCs w:val="24"/>
        </w:rPr>
      </w:pPr>
      <w:r w:rsidRPr="008B52BC">
        <w:rPr>
          <w:rFonts w:ascii="Times New Roman" w:eastAsia="Times New Roman" w:hAnsi="Times New Roman" w:cs="Times New Roman"/>
          <w:bCs/>
          <w:sz w:val="24"/>
          <w:szCs w:val="24"/>
        </w:rPr>
        <w:lastRenderedPageBreak/>
        <w:t xml:space="preserve">Considering the factors under PURA § 37.056 and 16 TAC § 25.101, Route 2 balances those factors and has the most advantages over the other alternative routes. Route 2, like the proposed alternative routes, has some advantages and some disadvantages. However, Route 2 has the most advantages overall and </w:t>
      </w:r>
      <w:r w:rsidR="00AB1D4C">
        <w:rPr>
          <w:rFonts w:ascii="Times New Roman" w:eastAsia="Times New Roman" w:hAnsi="Times New Roman" w:cs="Times New Roman"/>
          <w:bCs/>
          <w:sz w:val="24"/>
          <w:szCs w:val="24"/>
        </w:rPr>
        <w:t>is</w:t>
      </w:r>
      <w:r w:rsidRPr="008B52BC">
        <w:rPr>
          <w:rFonts w:ascii="Times New Roman" w:eastAsia="Times New Roman" w:hAnsi="Times New Roman" w:cs="Times New Roman"/>
          <w:bCs/>
          <w:sz w:val="24"/>
          <w:szCs w:val="24"/>
        </w:rPr>
        <w:t xml:space="preserve"> superior to the other proposed alternative routes. As Mr. Poole noted</w:t>
      </w:r>
      <w:r w:rsidRPr="008B52BC">
        <w:rPr>
          <w:rFonts w:ascii="Times New Roman" w:eastAsia="Times New Roman" w:hAnsi="Times New Roman" w:cs="Times New Roman"/>
          <w:bCs/>
          <w:position w:val="6"/>
          <w:sz w:val="16"/>
          <w:szCs w:val="24"/>
        </w:rPr>
        <w:footnoteReference w:id="40"/>
      </w:r>
      <w:r w:rsidRPr="008B52BC">
        <w:rPr>
          <w:rFonts w:ascii="Times New Roman" w:eastAsia="Times New Roman" w:hAnsi="Times New Roman" w:cs="Times New Roman"/>
          <w:bCs/>
          <w:sz w:val="24"/>
          <w:szCs w:val="24"/>
        </w:rPr>
        <w:t xml:space="preserve">: </w:t>
      </w:r>
    </w:p>
    <w:p w14:paraId="15443498" w14:textId="111EF9E7" w:rsidR="008B52BC" w:rsidRPr="008B52BC" w:rsidRDefault="008B52BC" w:rsidP="008B52BC">
      <w:pPr>
        <w:widowControl w:val="0"/>
        <w:numPr>
          <w:ilvl w:val="1"/>
          <w:numId w:val="36"/>
        </w:numPr>
        <w:spacing w:after="0" w:line="480" w:lineRule="auto"/>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Route 2 is the shortest route at 19.01 miles</w:t>
      </w:r>
      <w:r w:rsidR="00EB7A44">
        <w:rPr>
          <w:rFonts w:ascii="Times New Roman" w:eastAsia="Times New Roman" w:hAnsi="Times New Roman" w:cs="Times New Roman"/>
          <w:sz w:val="24"/>
          <w:szCs w:val="24"/>
        </w:rPr>
        <w:t>;</w:t>
      </w:r>
      <w:r w:rsidRPr="008B52BC">
        <w:rPr>
          <w:rFonts w:ascii="Times New Roman" w:eastAsia="Times New Roman" w:hAnsi="Times New Roman" w:cs="Times New Roman"/>
          <w:position w:val="6"/>
          <w:sz w:val="16"/>
          <w:szCs w:val="24"/>
        </w:rPr>
        <w:footnoteReference w:id="41"/>
      </w:r>
    </w:p>
    <w:p w14:paraId="74A25F24" w14:textId="77777777" w:rsidR="008B52BC" w:rsidRPr="008B52BC" w:rsidRDefault="008B52BC" w:rsidP="008B52BC">
      <w:pPr>
        <w:widowControl w:val="0"/>
        <w:numPr>
          <w:ilvl w:val="1"/>
          <w:numId w:val="36"/>
        </w:numPr>
        <w:spacing w:after="0" w:line="480" w:lineRule="auto"/>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Route 2 has the shortest length and area across bottomland/riparian brushland or shrubland, 11.8 miles and 71.5 acres</w:t>
      </w:r>
      <w:r w:rsidRPr="008B52BC">
        <w:rPr>
          <w:rFonts w:ascii="Times New Roman" w:eastAsia="Times New Roman" w:hAnsi="Times New Roman" w:cs="Times New Roman"/>
          <w:position w:val="6"/>
          <w:sz w:val="16"/>
          <w:szCs w:val="24"/>
        </w:rPr>
        <w:footnoteReference w:id="42"/>
      </w:r>
      <w:r w:rsidRPr="008B52BC">
        <w:rPr>
          <w:rFonts w:ascii="Times New Roman" w:eastAsia="Times New Roman" w:hAnsi="Times New Roman" w:cs="Times New Roman"/>
          <w:sz w:val="24"/>
          <w:szCs w:val="24"/>
        </w:rPr>
        <w:t>;</w:t>
      </w:r>
    </w:p>
    <w:p w14:paraId="1428E390" w14:textId="6C65C471" w:rsidR="008B52BC" w:rsidRPr="008B52BC" w:rsidRDefault="008B52BC" w:rsidP="008B52BC">
      <w:pPr>
        <w:widowControl w:val="0"/>
        <w:numPr>
          <w:ilvl w:val="1"/>
          <w:numId w:val="36"/>
        </w:numPr>
        <w:spacing w:after="0" w:line="480" w:lineRule="auto"/>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Route 2 has the shortest area across highly erodible soils, 0.2 acres</w:t>
      </w:r>
      <w:r w:rsidR="00EB7A44">
        <w:rPr>
          <w:rFonts w:ascii="Times New Roman" w:eastAsia="Times New Roman" w:hAnsi="Times New Roman" w:cs="Times New Roman"/>
          <w:sz w:val="24"/>
          <w:szCs w:val="24"/>
        </w:rPr>
        <w:t>;</w:t>
      </w:r>
      <w:r w:rsidRPr="008B52BC">
        <w:rPr>
          <w:rFonts w:ascii="Times New Roman" w:eastAsia="Times New Roman" w:hAnsi="Times New Roman" w:cs="Times New Roman"/>
          <w:position w:val="6"/>
          <w:sz w:val="16"/>
          <w:szCs w:val="24"/>
        </w:rPr>
        <w:footnoteReference w:id="43"/>
      </w:r>
    </w:p>
    <w:p w14:paraId="7FAECBF9" w14:textId="172E25BB" w:rsidR="008B52BC" w:rsidRPr="008B52BC" w:rsidRDefault="008B52BC" w:rsidP="008B52BC">
      <w:pPr>
        <w:widowControl w:val="0"/>
        <w:numPr>
          <w:ilvl w:val="1"/>
          <w:numId w:val="36"/>
        </w:numPr>
        <w:spacing w:after="0" w:line="480" w:lineRule="auto"/>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Route 2 has the shortest area across poor revegetation potential soils, 4.0 acres</w:t>
      </w:r>
      <w:r w:rsidR="00EB7A44">
        <w:rPr>
          <w:rFonts w:ascii="Times New Roman" w:eastAsia="Times New Roman" w:hAnsi="Times New Roman" w:cs="Times New Roman"/>
          <w:sz w:val="24"/>
          <w:szCs w:val="24"/>
        </w:rPr>
        <w:t>;</w:t>
      </w:r>
      <w:r w:rsidRPr="008B52BC">
        <w:rPr>
          <w:rFonts w:ascii="Times New Roman" w:eastAsia="Times New Roman" w:hAnsi="Times New Roman" w:cs="Times New Roman"/>
          <w:position w:val="6"/>
          <w:sz w:val="16"/>
          <w:szCs w:val="24"/>
        </w:rPr>
        <w:footnoteReference w:id="44"/>
      </w:r>
      <w:r w:rsidRPr="008B52BC">
        <w:rPr>
          <w:rFonts w:ascii="Times New Roman" w:eastAsia="Times New Roman" w:hAnsi="Times New Roman" w:cs="Times New Roman"/>
          <w:sz w:val="24"/>
          <w:szCs w:val="24"/>
        </w:rPr>
        <w:t xml:space="preserve"> </w:t>
      </w:r>
    </w:p>
    <w:p w14:paraId="6FD4064A" w14:textId="606A2204" w:rsidR="008B52BC" w:rsidRPr="008B52BC" w:rsidRDefault="008B52BC" w:rsidP="008B52BC">
      <w:pPr>
        <w:widowControl w:val="0"/>
        <w:numPr>
          <w:ilvl w:val="1"/>
          <w:numId w:val="36"/>
        </w:numPr>
        <w:spacing w:after="0" w:line="480" w:lineRule="auto"/>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Route 2 has the shortest length and area across high probability areas for archaeological sites, 11.0 miles and 66.9 acres</w:t>
      </w:r>
      <w:r w:rsidR="00EB7A44">
        <w:rPr>
          <w:rFonts w:ascii="Times New Roman" w:eastAsia="Times New Roman" w:hAnsi="Times New Roman" w:cs="Times New Roman"/>
          <w:sz w:val="24"/>
          <w:szCs w:val="24"/>
        </w:rPr>
        <w:t>;</w:t>
      </w:r>
      <w:r w:rsidRPr="008B52BC">
        <w:rPr>
          <w:rFonts w:ascii="Times New Roman" w:eastAsia="Times New Roman" w:hAnsi="Times New Roman" w:cs="Times New Roman"/>
          <w:position w:val="6"/>
          <w:sz w:val="16"/>
          <w:szCs w:val="24"/>
        </w:rPr>
        <w:footnoteReference w:id="45"/>
      </w:r>
      <w:r w:rsidRPr="008B52BC">
        <w:rPr>
          <w:rFonts w:ascii="Times New Roman" w:eastAsia="Times New Roman" w:hAnsi="Times New Roman" w:cs="Times New Roman"/>
          <w:sz w:val="24"/>
          <w:szCs w:val="24"/>
        </w:rPr>
        <w:t xml:space="preserve"> and </w:t>
      </w:r>
    </w:p>
    <w:p w14:paraId="34024862" w14:textId="10C4B432" w:rsidR="008B52BC" w:rsidRPr="008B52BC" w:rsidRDefault="008B52BC" w:rsidP="008B52BC">
      <w:pPr>
        <w:widowControl w:val="0"/>
        <w:numPr>
          <w:ilvl w:val="1"/>
          <w:numId w:val="36"/>
        </w:numPr>
        <w:spacing w:after="0" w:line="480" w:lineRule="auto"/>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Route 2 has no archaeological or historical sites within its construction right of way.</w:t>
      </w:r>
      <w:r w:rsidR="00EB7A44">
        <w:rPr>
          <w:rStyle w:val="FootnoteReference"/>
          <w:rFonts w:ascii="Times New Roman" w:eastAsia="Times New Roman" w:hAnsi="Times New Roman" w:cs="Times New Roman"/>
          <w:szCs w:val="24"/>
        </w:rPr>
        <w:footnoteReference w:id="46"/>
      </w:r>
    </w:p>
    <w:p w14:paraId="569FA90C" w14:textId="77777777" w:rsidR="008B52BC" w:rsidRPr="008B52BC" w:rsidRDefault="008B52BC" w:rsidP="008B52BC">
      <w:pPr>
        <w:spacing w:after="0" w:line="240" w:lineRule="auto"/>
        <w:jc w:val="both"/>
        <w:rPr>
          <w:rFonts w:ascii="Times New Roman" w:eastAsia="Times New Roman" w:hAnsi="Times New Roman" w:cs="Times New Roman"/>
          <w:sz w:val="24"/>
          <w:szCs w:val="20"/>
        </w:rPr>
      </w:pPr>
    </w:p>
    <w:p w14:paraId="64ABE418" w14:textId="77777777" w:rsidR="008B52BC" w:rsidRPr="008B52BC" w:rsidRDefault="008B52BC" w:rsidP="008B52BC">
      <w:pPr>
        <w:widowControl w:val="0"/>
        <w:autoSpaceDE w:val="0"/>
        <w:autoSpaceDN w:val="0"/>
        <w:spacing w:after="0" w:line="240" w:lineRule="auto"/>
        <w:rPr>
          <w:rFonts w:ascii="Times New Roman" w:eastAsia="Times New Roman" w:hAnsi="Times New Roman" w:cs="Times New Roman"/>
          <w:sz w:val="24"/>
          <w:szCs w:val="24"/>
          <w:lang w:bidi="en-US"/>
        </w:rPr>
      </w:pPr>
    </w:p>
    <w:p w14:paraId="315A69A0" w14:textId="250C5F1C" w:rsidR="008B52BC" w:rsidRPr="0066424D" w:rsidRDefault="008B52BC" w:rsidP="0066424D">
      <w:pPr>
        <w:pStyle w:val="ListParagraph"/>
        <w:keepNext/>
        <w:numPr>
          <w:ilvl w:val="0"/>
          <w:numId w:val="13"/>
        </w:numPr>
        <w:spacing w:after="120"/>
        <w:jc w:val="center"/>
        <w:outlineLvl w:val="0"/>
        <w:rPr>
          <w:b/>
          <w:caps/>
          <w:sz w:val="24"/>
          <w:szCs w:val="24"/>
        </w:rPr>
      </w:pPr>
      <w:bookmarkStart w:id="35" w:name="_Toc34653795"/>
      <w:bookmarkStart w:id="36" w:name="_Toc103169731"/>
      <w:r w:rsidRPr="0066424D">
        <w:rPr>
          <w:b/>
          <w:caps/>
          <w:sz w:val="24"/>
          <w:szCs w:val="24"/>
        </w:rPr>
        <w:t>RELIABILITY (P.O. Issue Nos. 31, 32)</w:t>
      </w:r>
      <w:bookmarkEnd w:id="35"/>
      <w:bookmarkEnd w:id="36"/>
    </w:p>
    <w:p w14:paraId="1E217CC8" w14:textId="251D8003" w:rsidR="00DF3DA9" w:rsidRPr="00B40067" w:rsidRDefault="00DF3DA9" w:rsidP="00DF3DA9">
      <w:pPr>
        <w:spacing w:after="0" w:line="360" w:lineRule="auto"/>
        <w:ind w:firstLine="720"/>
        <w:jc w:val="both"/>
        <w:rPr>
          <w:rFonts w:ascii="Times New Roman" w:hAnsi="Times New Roman" w:cs="Times New Roman"/>
          <w:sz w:val="24"/>
          <w:szCs w:val="24"/>
        </w:rPr>
      </w:pPr>
      <w:r w:rsidRPr="00DF3DA9">
        <w:rPr>
          <w:rFonts w:ascii="Times New Roman" w:hAnsi="Times New Roman" w:cs="Times New Roman"/>
          <w:sz w:val="24"/>
          <w:szCs w:val="24"/>
        </w:rPr>
        <w:t>SPS anticipates minimal or no impact to the SPP transmission system should the Commission approve the proposed CCN amendment.</w:t>
      </w:r>
      <w:r w:rsidRPr="00DF3DA9">
        <w:rPr>
          <w:rFonts w:ascii="Times New Roman" w:hAnsi="Times New Roman" w:cs="Times New Roman"/>
          <w:sz w:val="20"/>
          <w:szCs w:val="20"/>
          <w:vertAlign w:val="superscript"/>
        </w:rPr>
        <w:footnoteReference w:id="47"/>
      </w:r>
      <w:r w:rsidRPr="00DF3DA9">
        <w:rPr>
          <w:rFonts w:ascii="Times New Roman" w:hAnsi="Times New Roman" w:cs="Times New Roman"/>
          <w:sz w:val="24"/>
          <w:szCs w:val="24"/>
          <w:vertAlign w:val="superscript"/>
        </w:rPr>
        <w:t xml:space="preserve"> </w:t>
      </w:r>
      <w:r w:rsidRPr="00DF3DA9">
        <w:rPr>
          <w:rFonts w:ascii="Times New Roman" w:hAnsi="Times New Roman" w:cs="Times New Roman"/>
          <w:sz w:val="24"/>
          <w:szCs w:val="24"/>
        </w:rPr>
        <w:t xml:space="preserve">However, if the Commission does not </w:t>
      </w:r>
      <w:r w:rsidRPr="00DF3DA9">
        <w:rPr>
          <w:rFonts w:ascii="Times New Roman" w:hAnsi="Times New Roman" w:cs="Times New Roman"/>
          <w:sz w:val="24"/>
          <w:szCs w:val="24"/>
        </w:rPr>
        <w:lastRenderedPageBreak/>
        <w:t>approve the proposed CCN amendment and the Harrington units are retired, SPS anticipates transmission system impacts.</w:t>
      </w:r>
      <w:r w:rsidRPr="00DF3DA9">
        <w:rPr>
          <w:rStyle w:val="FootnoteReference"/>
          <w:rFonts w:ascii="Times New Roman" w:hAnsi="Times New Roman" w:cs="Times New Roman"/>
          <w:szCs w:val="24"/>
        </w:rPr>
        <w:footnoteReference w:id="48"/>
      </w:r>
      <w:r w:rsidRPr="00DF3DA9">
        <w:rPr>
          <w:rFonts w:ascii="Times New Roman" w:hAnsi="Times New Roman" w:cs="Times New Roman"/>
          <w:sz w:val="24"/>
          <w:szCs w:val="24"/>
        </w:rPr>
        <w:t xml:space="preserve"> Transmission grid updates or changes </w:t>
      </w:r>
      <w:r w:rsidR="0067553F">
        <w:rPr>
          <w:rFonts w:ascii="Times New Roman" w:hAnsi="Times New Roman" w:cs="Times New Roman"/>
          <w:sz w:val="24"/>
          <w:szCs w:val="24"/>
        </w:rPr>
        <w:t>would</w:t>
      </w:r>
      <w:r w:rsidRPr="00DF3DA9">
        <w:rPr>
          <w:rFonts w:ascii="Times New Roman" w:hAnsi="Times New Roman" w:cs="Times New Roman"/>
          <w:sz w:val="24"/>
          <w:szCs w:val="24"/>
        </w:rPr>
        <w:t xml:space="preserve"> be studied and identified by SPP (</w:t>
      </w:r>
      <w:r w:rsidRPr="00DF3DA9">
        <w:rPr>
          <w:rFonts w:ascii="Times New Roman" w:hAnsi="Times New Roman" w:cs="Times New Roman"/>
          <w:i/>
          <w:iCs/>
          <w:sz w:val="24"/>
          <w:szCs w:val="24"/>
        </w:rPr>
        <w:t>see</w:t>
      </w:r>
      <w:r w:rsidRPr="00DF3DA9">
        <w:rPr>
          <w:rFonts w:ascii="Times New Roman" w:hAnsi="Times New Roman" w:cs="Times New Roman"/>
          <w:sz w:val="24"/>
          <w:szCs w:val="24"/>
        </w:rPr>
        <w:t xml:space="preserve"> Attachment AB “Generator Retirement Process” of the Open Access Tariff as described in SPS’s response to Question No. SC 1-5(b)).</w:t>
      </w:r>
      <w:r w:rsidRPr="00DF3DA9">
        <w:rPr>
          <w:rStyle w:val="FootnoteReference"/>
          <w:rFonts w:ascii="Times New Roman" w:hAnsi="Times New Roman" w:cs="Times New Roman"/>
          <w:szCs w:val="24"/>
        </w:rPr>
        <w:footnoteReference w:id="49"/>
      </w:r>
      <w:r w:rsidRPr="00DF3DA9">
        <w:rPr>
          <w:rFonts w:ascii="Times New Roman" w:hAnsi="Times New Roman" w:cs="Times New Roman"/>
          <w:sz w:val="24"/>
          <w:szCs w:val="24"/>
        </w:rPr>
        <w:t xml:space="preserve"> During this process, SPP </w:t>
      </w:r>
      <w:r w:rsidR="002E2D9A">
        <w:rPr>
          <w:rFonts w:ascii="Times New Roman" w:hAnsi="Times New Roman" w:cs="Times New Roman"/>
          <w:sz w:val="24"/>
          <w:szCs w:val="24"/>
        </w:rPr>
        <w:t>would</w:t>
      </w:r>
      <w:r w:rsidRPr="00DF3DA9">
        <w:rPr>
          <w:rFonts w:ascii="Times New Roman" w:hAnsi="Times New Roman" w:cs="Times New Roman"/>
          <w:sz w:val="24"/>
          <w:szCs w:val="24"/>
        </w:rPr>
        <w:t xml:space="preserve"> perform a study to identity any updates or changes, if required, within a year of </w:t>
      </w:r>
      <w:r w:rsidR="002E2D9A">
        <w:rPr>
          <w:rFonts w:ascii="Times New Roman" w:hAnsi="Times New Roman" w:cs="Times New Roman"/>
          <w:sz w:val="24"/>
          <w:szCs w:val="24"/>
        </w:rPr>
        <w:t xml:space="preserve">the </w:t>
      </w:r>
      <w:r w:rsidRPr="00DF3DA9">
        <w:rPr>
          <w:rFonts w:ascii="Times New Roman" w:hAnsi="Times New Roman" w:cs="Times New Roman"/>
          <w:sz w:val="24"/>
          <w:szCs w:val="24"/>
        </w:rPr>
        <w:t xml:space="preserve">filing </w:t>
      </w:r>
      <w:r w:rsidR="002E2D9A">
        <w:rPr>
          <w:rFonts w:ascii="Times New Roman" w:hAnsi="Times New Roman" w:cs="Times New Roman"/>
          <w:sz w:val="24"/>
          <w:szCs w:val="24"/>
        </w:rPr>
        <w:t xml:space="preserve">of </w:t>
      </w:r>
      <w:r w:rsidRPr="00DF3DA9">
        <w:rPr>
          <w:rFonts w:ascii="Times New Roman" w:hAnsi="Times New Roman" w:cs="Times New Roman"/>
          <w:sz w:val="24"/>
          <w:szCs w:val="24"/>
        </w:rPr>
        <w:t>the retirement request.</w:t>
      </w:r>
      <w:r w:rsidRPr="00DF3DA9">
        <w:rPr>
          <w:rStyle w:val="FootnoteReference"/>
          <w:rFonts w:ascii="Times New Roman" w:hAnsi="Times New Roman" w:cs="Times New Roman"/>
          <w:szCs w:val="24"/>
        </w:rPr>
        <w:footnoteReference w:id="50"/>
      </w:r>
      <w:r w:rsidRPr="00DF3DA9">
        <w:rPr>
          <w:rFonts w:ascii="Times New Roman" w:hAnsi="Times New Roman" w:cs="Times New Roman"/>
          <w:sz w:val="24"/>
          <w:szCs w:val="24"/>
        </w:rPr>
        <w:t xml:space="preserve"> Retirement requests are to be filed with SPP no less than one year from the expected retirement date.</w:t>
      </w:r>
      <w:r w:rsidRPr="00DF3DA9">
        <w:rPr>
          <w:rStyle w:val="FootnoteReference"/>
          <w:rFonts w:ascii="Times New Roman" w:hAnsi="Times New Roman" w:cs="Times New Roman"/>
          <w:szCs w:val="24"/>
        </w:rPr>
        <w:footnoteReference w:id="51"/>
      </w:r>
    </w:p>
    <w:p w14:paraId="44381AFB" w14:textId="77777777" w:rsidR="008B52BC" w:rsidRPr="008B52BC" w:rsidRDefault="008B52BC" w:rsidP="008B52BC">
      <w:pPr>
        <w:spacing w:after="0" w:line="240" w:lineRule="auto"/>
        <w:jc w:val="both"/>
        <w:rPr>
          <w:rFonts w:ascii="Times New Roman" w:eastAsia="Times New Roman" w:hAnsi="Times New Roman" w:cs="Times New Roman"/>
          <w:sz w:val="24"/>
          <w:szCs w:val="20"/>
        </w:rPr>
      </w:pPr>
    </w:p>
    <w:p w14:paraId="376FF35D" w14:textId="77777777" w:rsidR="008B52BC" w:rsidRPr="008B52BC" w:rsidRDefault="008B52BC" w:rsidP="0066424D">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37" w:name="_Toc34653801"/>
      <w:bookmarkStart w:id="38" w:name="_Toc103169732"/>
      <w:r w:rsidRPr="008B52BC">
        <w:rPr>
          <w:rFonts w:ascii="Times New Roman" w:eastAsia="Times New Roman" w:hAnsi="Times New Roman" w:cs="Times New Roman"/>
          <w:b/>
          <w:caps/>
          <w:sz w:val="24"/>
          <w:szCs w:val="24"/>
        </w:rPr>
        <w:t>Texas Parks and wildlife (P.O. Issue No. 33)</w:t>
      </w:r>
      <w:bookmarkEnd w:id="37"/>
      <w:bookmarkEnd w:id="38"/>
    </w:p>
    <w:p w14:paraId="5CD80B01" w14:textId="4B58BE5D" w:rsidR="008B52BC" w:rsidRPr="008B52BC" w:rsidRDefault="008B52BC" w:rsidP="00692AD4">
      <w:pPr>
        <w:spacing w:after="120" w:line="360" w:lineRule="auto"/>
        <w:ind w:firstLine="720"/>
        <w:jc w:val="both"/>
        <w:rPr>
          <w:rFonts w:ascii="Times New Roman" w:hAnsi="Times New Roman" w:cs="Times New Roman"/>
        </w:rPr>
      </w:pPr>
      <w:r w:rsidRPr="008B52BC">
        <w:rPr>
          <w:rFonts w:ascii="Times New Roman" w:hAnsi="Times New Roman" w:cs="Times New Roman"/>
          <w:sz w:val="24"/>
          <w:szCs w:val="24"/>
        </w:rPr>
        <w:t xml:space="preserve">Under Texas Parks and Wildlife Code (TPWC) § 12.0011(b)(2) and (b)(3), TPWD has authority to </w:t>
      </w:r>
      <w:r w:rsidR="00AB1D4C">
        <w:rPr>
          <w:rFonts w:ascii="Times New Roman" w:hAnsi="Times New Roman" w:cs="Times New Roman"/>
          <w:sz w:val="24"/>
          <w:szCs w:val="24"/>
        </w:rPr>
        <w:t>provide</w:t>
      </w:r>
      <w:r w:rsidRPr="008B52BC">
        <w:rPr>
          <w:rFonts w:ascii="Times New Roman" w:hAnsi="Times New Roman" w:cs="Times New Roman"/>
          <w:sz w:val="24"/>
          <w:szCs w:val="24"/>
        </w:rPr>
        <w:t xml:space="preserve"> recommendations that will protect fish and wildlife resources to local, state, and federal agencies that approve, license, or construct developmental projects</w:t>
      </w:r>
      <w:r w:rsidR="00AB1D4C">
        <w:rPr>
          <w:rFonts w:ascii="Times New Roman" w:hAnsi="Times New Roman" w:cs="Times New Roman"/>
          <w:sz w:val="24"/>
          <w:szCs w:val="24"/>
        </w:rPr>
        <w:t>.</w:t>
      </w:r>
      <w:r w:rsidRPr="008B52BC">
        <w:rPr>
          <w:rFonts w:ascii="Times New Roman" w:hAnsi="Times New Roman" w:cs="Times New Roman"/>
          <w:sz w:val="24"/>
          <w:szCs w:val="24"/>
        </w:rPr>
        <w:t xml:space="preserve"> </w:t>
      </w:r>
      <w:r w:rsidR="00AB1D4C">
        <w:rPr>
          <w:rFonts w:ascii="Times New Roman" w:hAnsi="Times New Roman" w:cs="Times New Roman"/>
          <w:sz w:val="24"/>
          <w:szCs w:val="24"/>
        </w:rPr>
        <w:t>U</w:t>
      </w:r>
      <w:r w:rsidRPr="008B52BC">
        <w:rPr>
          <w:rFonts w:ascii="Times New Roman" w:hAnsi="Times New Roman" w:cs="Times New Roman"/>
          <w:sz w:val="24"/>
          <w:szCs w:val="24"/>
        </w:rPr>
        <w:t>nder TPWC § 12.0011(c), the Commission shall respond in writing to the recommendations filed by the TPWD</w:t>
      </w:r>
      <w:r w:rsidRPr="008B52BC">
        <w:rPr>
          <w:rFonts w:ascii="Times New Roman" w:hAnsi="Times New Roman" w:cs="Times New Roman"/>
        </w:rPr>
        <w:t xml:space="preserve">. </w:t>
      </w:r>
      <w:r w:rsidRPr="008B52BC">
        <w:rPr>
          <w:rFonts w:ascii="Times New Roman" w:hAnsi="Times New Roman" w:cs="Times New Roman"/>
          <w:sz w:val="24"/>
          <w:szCs w:val="24"/>
        </w:rPr>
        <w:t xml:space="preserve">Mr. Poole reviewed the Environmental Assessment (EA) submitted </w:t>
      </w:r>
      <w:r w:rsidR="00AB1D4C">
        <w:rPr>
          <w:rFonts w:ascii="Times New Roman" w:hAnsi="Times New Roman" w:cs="Times New Roman"/>
          <w:sz w:val="24"/>
          <w:szCs w:val="24"/>
        </w:rPr>
        <w:t>in</w:t>
      </w:r>
      <w:r w:rsidRPr="008B52BC">
        <w:rPr>
          <w:rFonts w:ascii="Times New Roman" w:hAnsi="Times New Roman" w:cs="Times New Roman"/>
          <w:sz w:val="24"/>
          <w:szCs w:val="24"/>
        </w:rPr>
        <w:t xml:space="preserve"> the application as well as TPWD’s recommendation and has recommended several mitigation measures that he found sufficient to address most of TPWD’s concerns</w:t>
      </w:r>
      <w:r w:rsidRPr="008B52BC">
        <w:rPr>
          <w:rFonts w:ascii="Times New Roman" w:hAnsi="Times New Roman" w:cs="Times New Roman"/>
        </w:rPr>
        <w:t>.</w:t>
      </w:r>
      <w:r w:rsidRPr="008B52BC">
        <w:rPr>
          <w:rFonts w:ascii="Times New Roman" w:hAnsi="Times New Roman" w:cs="Times New Roman"/>
          <w:position w:val="6"/>
          <w:sz w:val="16"/>
        </w:rPr>
        <w:footnoteReference w:id="52"/>
      </w:r>
      <w:r w:rsidRPr="008B52BC">
        <w:rPr>
          <w:rFonts w:ascii="Times New Roman" w:hAnsi="Times New Roman" w:cs="Times New Roman"/>
        </w:rPr>
        <w:t xml:space="preserve"> </w:t>
      </w:r>
      <w:r w:rsidRPr="008B52BC">
        <w:rPr>
          <w:rFonts w:ascii="Times New Roman" w:hAnsi="Times New Roman" w:cs="Times New Roman"/>
          <w:sz w:val="24"/>
          <w:szCs w:val="24"/>
        </w:rPr>
        <w:t xml:space="preserve">SPS, in the testimony of Anastacia Santos, states that the measures proposed by Mr. Poole are standard and reasonable collaboration with TPWD is consistent with </w:t>
      </w:r>
      <w:r w:rsidR="00AB1D4C">
        <w:rPr>
          <w:rFonts w:ascii="Times New Roman" w:hAnsi="Times New Roman" w:cs="Times New Roman"/>
          <w:sz w:val="24"/>
          <w:szCs w:val="24"/>
        </w:rPr>
        <w:t>C</w:t>
      </w:r>
      <w:r w:rsidRPr="008B52BC">
        <w:rPr>
          <w:rFonts w:ascii="Times New Roman" w:hAnsi="Times New Roman" w:cs="Times New Roman"/>
          <w:sz w:val="24"/>
          <w:szCs w:val="24"/>
        </w:rPr>
        <w:t>ommission practice</w:t>
      </w:r>
      <w:r w:rsidRPr="008B52BC">
        <w:rPr>
          <w:rFonts w:ascii="Times New Roman" w:hAnsi="Times New Roman" w:cs="Times New Roman"/>
        </w:rPr>
        <w:t>.</w:t>
      </w:r>
      <w:r w:rsidRPr="008B52BC">
        <w:rPr>
          <w:rFonts w:ascii="Times New Roman" w:hAnsi="Times New Roman" w:cs="Times New Roman"/>
          <w:position w:val="6"/>
          <w:sz w:val="16"/>
        </w:rPr>
        <w:footnoteReference w:id="53"/>
      </w:r>
      <w:r w:rsidRPr="008B52BC">
        <w:rPr>
          <w:rFonts w:ascii="Times New Roman" w:hAnsi="Times New Roman" w:cs="Times New Roman"/>
        </w:rPr>
        <w:t xml:space="preserve"> </w:t>
      </w:r>
      <w:r w:rsidRPr="008B52BC">
        <w:rPr>
          <w:rFonts w:ascii="Times New Roman" w:hAnsi="Times New Roman" w:cs="Times New Roman"/>
          <w:sz w:val="24"/>
          <w:szCs w:val="24"/>
        </w:rPr>
        <w:t>These measures include the following proposed ordering paragraphs:</w:t>
      </w:r>
      <w:r w:rsidRPr="008B52BC">
        <w:rPr>
          <w:rFonts w:ascii="Times New Roman" w:hAnsi="Times New Roman" w:cs="Times New Roman"/>
          <w:position w:val="6"/>
          <w:sz w:val="16"/>
        </w:rPr>
        <w:footnoteReference w:id="54"/>
      </w:r>
    </w:p>
    <w:p w14:paraId="672B057F" w14:textId="270ACC40" w:rsidR="008B52BC" w:rsidRPr="008B52BC" w:rsidRDefault="008B52BC" w:rsidP="00153B7E">
      <w:pPr>
        <w:numPr>
          <w:ilvl w:val="0"/>
          <w:numId w:val="35"/>
        </w:numPr>
        <w:spacing w:after="120" w:line="240" w:lineRule="auto"/>
        <w:ind w:right="720"/>
        <w:jc w:val="both"/>
        <w:rPr>
          <w:rFonts w:ascii="Times New Roman" w:hAnsi="Times New Roman" w:cs="Times New Roman"/>
          <w:sz w:val="24"/>
          <w:szCs w:val="24"/>
        </w:rPr>
      </w:pPr>
      <w:r w:rsidRPr="008B52BC">
        <w:rPr>
          <w:rFonts w:ascii="Times New Roman" w:hAnsi="Times New Roman" w:cs="Times New Roman"/>
          <w:sz w:val="24"/>
          <w:szCs w:val="24"/>
        </w:rPr>
        <w:t xml:space="preserve">If SPS encounters any archeological artifacts or other cultural resources during Proposed Project construction, work must cease immediately in the vicinity of the artifact or resource, and the discovery must be reported to the Texas Historical Commission. In that situation, SPS </w:t>
      </w:r>
      <w:r w:rsidR="00AB1D4C">
        <w:rPr>
          <w:rFonts w:ascii="Times New Roman" w:hAnsi="Times New Roman" w:cs="Times New Roman"/>
          <w:sz w:val="24"/>
          <w:szCs w:val="24"/>
        </w:rPr>
        <w:t xml:space="preserve">must </w:t>
      </w:r>
      <w:r w:rsidRPr="008B52BC">
        <w:rPr>
          <w:rFonts w:ascii="Times New Roman" w:hAnsi="Times New Roman" w:cs="Times New Roman"/>
          <w:sz w:val="24"/>
          <w:szCs w:val="24"/>
        </w:rPr>
        <w:t>take action as directed by the Texas Historical Commission.</w:t>
      </w:r>
    </w:p>
    <w:p w14:paraId="787EB4B2" w14:textId="77777777" w:rsidR="008B52BC" w:rsidRPr="008B52BC" w:rsidRDefault="008B52BC" w:rsidP="00153B7E">
      <w:pPr>
        <w:numPr>
          <w:ilvl w:val="0"/>
          <w:numId w:val="35"/>
        </w:numPr>
        <w:spacing w:after="120" w:line="240" w:lineRule="auto"/>
        <w:ind w:right="720"/>
        <w:jc w:val="both"/>
        <w:rPr>
          <w:rFonts w:ascii="Times New Roman" w:hAnsi="Times New Roman" w:cs="Times New Roman"/>
          <w:sz w:val="24"/>
          <w:szCs w:val="24"/>
        </w:rPr>
      </w:pPr>
      <w:r w:rsidRPr="008B52BC">
        <w:rPr>
          <w:rFonts w:ascii="Times New Roman" w:hAnsi="Times New Roman" w:cs="Times New Roman"/>
          <w:sz w:val="24"/>
          <w:szCs w:val="24"/>
        </w:rPr>
        <w:t xml:space="preserve">SPS must take precautions to avoid disturbing occupied nests and take steps to minimize the burden of construction on migratory birds during the </w:t>
      </w:r>
      <w:r w:rsidRPr="008B52BC">
        <w:rPr>
          <w:rFonts w:ascii="Times New Roman" w:hAnsi="Times New Roman" w:cs="Times New Roman"/>
          <w:sz w:val="24"/>
          <w:szCs w:val="24"/>
        </w:rPr>
        <w:lastRenderedPageBreak/>
        <w:t>nesting season of the migratory bird species identified in the area of construction.</w:t>
      </w:r>
    </w:p>
    <w:p w14:paraId="2FE70F85" w14:textId="77777777" w:rsidR="008B52BC" w:rsidRPr="008B52BC" w:rsidRDefault="008B52BC" w:rsidP="00153B7E">
      <w:pPr>
        <w:spacing w:after="120"/>
        <w:ind w:left="1440" w:right="720" w:hanging="720"/>
        <w:rPr>
          <w:rFonts w:ascii="Times New Roman" w:hAnsi="Times New Roman" w:cs="Times New Roman"/>
          <w:sz w:val="24"/>
          <w:szCs w:val="24"/>
        </w:rPr>
      </w:pPr>
      <w:r w:rsidRPr="008B52BC">
        <w:rPr>
          <w:rFonts w:ascii="Times New Roman" w:hAnsi="Times New Roman" w:cs="Times New Roman"/>
          <w:sz w:val="24"/>
          <w:szCs w:val="24"/>
        </w:rPr>
        <w:t>3.</w:t>
      </w:r>
      <w:r w:rsidRPr="008B52BC">
        <w:rPr>
          <w:rFonts w:ascii="Times New Roman" w:hAnsi="Times New Roman" w:cs="Times New Roman"/>
          <w:sz w:val="24"/>
          <w:szCs w:val="24"/>
        </w:rPr>
        <w:tab/>
        <w:t>SPS must exercise extreme care to avoid affecting non-targeted vegetation or animal life when using chemical herbicides to control vegetation within rights-of-way. SPS must ensure that the use of chemical herbicides to control vegetation within the rights-of-way complies with rules and guidelines established in the Federal Insecticide Fungicide and Rodenticide Act and with Texas Department of Agriculture regulations.</w:t>
      </w:r>
    </w:p>
    <w:p w14:paraId="4E4B28B9" w14:textId="77777777" w:rsidR="008B52BC" w:rsidRPr="008B52BC" w:rsidRDefault="008B52BC" w:rsidP="00153B7E">
      <w:pPr>
        <w:spacing w:after="120"/>
        <w:ind w:left="1440" w:right="720" w:hanging="720"/>
        <w:rPr>
          <w:rFonts w:ascii="Times New Roman" w:hAnsi="Times New Roman" w:cs="Times New Roman"/>
          <w:sz w:val="24"/>
          <w:szCs w:val="24"/>
        </w:rPr>
      </w:pPr>
      <w:r w:rsidRPr="008B52BC">
        <w:rPr>
          <w:rFonts w:ascii="Times New Roman" w:hAnsi="Times New Roman" w:cs="Times New Roman"/>
          <w:sz w:val="24"/>
          <w:szCs w:val="24"/>
        </w:rPr>
        <w:t>4.</w:t>
      </w:r>
      <w:r w:rsidRPr="008B52BC">
        <w:rPr>
          <w:rFonts w:ascii="Times New Roman" w:hAnsi="Times New Roman" w:cs="Times New Roman"/>
          <w:sz w:val="24"/>
          <w:szCs w:val="24"/>
        </w:rPr>
        <w:tab/>
        <w:t xml:space="preserve">SPS must minimize the amount of flora and fauna disturbed during construction of the Proposed Project, except to the extent necessary to establish appropriate right of way clearance. In addition, SPS must revegetate, using native species and must consider landowner preferences and wildlife needs in doing so. Furthermore, to the maximum extent practical, SPS must avoid adverse environmental influence on sensitive plant and animal species and their habitats, as identified by TPWD and the United States Fish and Wildlife Service. </w:t>
      </w:r>
    </w:p>
    <w:p w14:paraId="34661F05" w14:textId="77777777" w:rsidR="008B52BC" w:rsidRPr="008B52BC" w:rsidRDefault="008B52BC" w:rsidP="00153B7E">
      <w:pPr>
        <w:spacing w:after="120"/>
        <w:ind w:left="1440" w:right="720" w:hanging="720"/>
        <w:rPr>
          <w:rFonts w:ascii="Times New Roman" w:hAnsi="Times New Roman" w:cs="Times New Roman"/>
          <w:sz w:val="24"/>
          <w:szCs w:val="24"/>
        </w:rPr>
      </w:pPr>
      <w:r w:rsidRPr="008B52BC">
        <w:rPr>
          <w:rFonts w:ascii="Times New Roman" w:hAnsi="Times New Roman" w:cs="Times New Roman"/>
          <w:sz w:val="24"/>
          <w:szCs w:val="24"/>
        </w:rPr>
        <w:t>5.</w:t>
      </w:r>
      <w:r w:rsidRPr="008B52BC">
        <w:rPr>
          <w:rFonts w:ascii="Times New Roman" w:hAnsi="Times New Roman" w:cs="Times New Roman"/>
          <w:sz w:val="24"/>
          <w:szCs w:val="24"/>
        </w:rPr>
        <w:tab/>
        <w:t>SPS must implement erosion control measures as appropriate. Erosion control measures may include inspection of the right-of-way before and during construction to identify erosion areas and implement special precautions as determined necessary. SPS must return each affected landowner’s property to its original contours and grades unless otherwise agreed to by the landowner or the landowner’s representative. SPS is not required to restore the original contours and grades where a different contour or grade is necessary to ensure the safety or stability of the project’s structures or the safe operation and maintenance of the lines.</w:t>
      </w:r>
    </w:p>
    <w:p w14:paraId="4CC0C62D" w14:textId="77777777" w:rsidR="008B52BC" w:rsidRPr="008B52BC" w:rsidRDefault="008B52BC" w:rsidP="00153B7E">
      <w:pPr>
        <w:spacing w:after="120"/>
        <w:ind w:left="1440" w:right="720" w:hanging="720"/>
        <w:rPr>
          <w:rFonts w:ascii="Times New Roman" w:hAnsi="Times New Roman" w:cs="Times New Roman"/>
          <w:sz w:val="24"/>
          <w:szCs w:val="24"/>
        </w:rPr>
      </w:pPr>
      <w:r w:rsidRPr="008B52BC">
        <w:rPr>
          <w:rFonts w:ascii="Times New Roman" w:hAnsi="Times New Roman" w:cs="Times New Roman"/>
          <w:sz w:val="24"/>
          <w:szCs w:val="24"/>
        </w:rPr>
        <w:t>6.</w:t>
      </w:r>
      <w:r w:rsidRPr="008B52BC">
        <w:rPr>
          <w:rFonts w:ascii="Times New Roman" w:hAnsi="Times New Roman" w:cs="Times New Roman"/>
          <w:sz w:val="24"/>
          <w:szCs w:val="24"/>
        </w:rPr>
        <w:tab/>
        <w:t>SPS must use best management practices to minimize the potential impacts to migratory birds and threatened or endangered species.</w:t>
      </w:r>
    </w:p>
    <w:p w14:paraId="1A7F9181" w14:textId="78D120A7" w:rsidR="008B52BC" w:rsidRPr="008B52BC" w:rsidRDefault="008B52BC" w:rsidP="00153B7E">
      <w:pPr>
        <w:spacing w:after="120"/>
        <w:ind w:left="1440" w:right="720" w:hanging="720"/>
        <w:rPr>
          <w:rFonts w:ascii="Times New Roman" w:hAnsi="Times New Roman" w:cs="Times New Roman"/>
          <w:sz w:val="24"/>
          <w:szCs w:val="24"/>
        </w:rPr>
      </w:pPr>
      <w:r w:rsidRPr="008B52BC">
        <w:rPr>
          <w:rFonts w:ascii="Times New Roman" w:hAnsi="Times New Roman" w:cs="Times New Roman"/>
          <w:sz w:val="24"/>
          <w:szCs w:val="24"/>
        </w:rPr>
        <w:t>7.</w:t>
      </w:r>
      <w:r w:rsidRPr="008B52BC">
        <w:rPr>
          <w:rFonts w:ascii="Times New Roman" w:hAnsi="Times New Roman" w:cs="Times New Roman"/>
          <w:sz w:val="24"/>
          <w:szCs w:val="24"/>
        </w:rPr>
        <w:tab/>
        <w:t>SPS must cooperate with directly affected landowners to implement minor deviations from the approved route to minimize the burden of the</w:t>
      </w:r>
      <w:r w:rsidR="00B73938">
        <w:rPr>
          <w:rFonts w:ascii="Times New Roman" w:hAnsi="Times New Roman" w:cs="Times New Roman"/>
          <w:sz w:val="24"/>
          <w:szCs w:val="24"/>
        </w:rPr>
        <w:t xml:space="preserve"> </w:t>
      </w:r>
      <w:r w:rsidR="00AB1D4C">
        <w:rPr>
          <w:rFonts w:ascii="Times New Roman" w:hAnsi="Times New Roman" w:cs="Times New Roman"/>
          <w:sz w:val="24"/>
          <w:szCs w:val="24"/>
        </w:rPr>
        <w:t>pipeline</w:t>
      </w:r>
      <w:r w:rsidRPr="008B52BC">
        <w:rPr>
          <w:rFonts w:ascii="Times New Roman" w:hAnsi="Times New Roman" w:cs="Times New Roman"/>
          <w:sz w:val="24"/>
          <w:szCs w:val="24"/>
        </w:rPr>
        <w:t xml:space="preserve">. Any minor deviations from the approved route must only directly affect landowners who were sent notice of the </w:t>
      </w:r>
      <w:r w:rsidR="00AB1D4C">
        <w:rPr>
          <w:rFonts w:ascii="Times New Roman" w:hAnsi="Times New Roman" w:cs="Times New Roman"/>
          <w:sz w:val="24"/>
          <w:szCs w:val="24"/>
        </w:rPr>
        <w:t>pipeline</w:t>
      </w:r>
      <w:r w:rsidRPr="008B52BC">
        <w:rPr>
          <w:rFonts w:ascii="Times New Roman" w:hAnsi="Times New Roman" w:cs="Times New Roman"/>
          <w:sz w:val="24"/>
          <w:szCs w:val="24"/>
        </w:rPr>
        <w:t xml:space="preserve"> in accordance with 16 TAC § 22.52(a)(3) and landowners that have agreed to the minor deviation.</w:t>
      </w:r>
    </w:p>
    <w:p w14:paraId="2AFDBD95" w14:textId="33DDDF10" w:rsidR="008B52BC" w:rsidRPr="008B52BC" w:rsidRDefault="008B52BC" w:rsidP="00153B7E">
      <w:pPr>
        <w:spacing w:after="120"/>
        <w:ind w:left="1440" w:right="720" w:hanging="720"/>
        <w:rPr>
          <w:rFonts w:ascii="Times New Roman" w:hAnsi="Times New Roman" w:cs="Times New Roman"/>
          <w:sz w:val="24"/>
          <w:szCs w:val="24"/>
        </w:rPr>
      </w:pPr>
      <w:r w:rsidRPr="008B52BC">
        <w:rPr>
          <w:rFonts w:ascii="Times New Roman" w:hAnsi="Times New Roman" w:cs="Times New Roman"/>
          <w:sz w:val="24"/>
          <w:szCs w:val="24"/>
        </w:rPr>
        <w:t>8.</w:t>
      </w:r>
      <w:r w:rsidRPr="008B52BC">
        <w:rPr>
          <w:rFonts w:ascii="Times New Roman" w:hAnsi="Times New Roman" w:cs="Times New Roman"/>
          <w:sz w:val="24"/>
          <w:szCs w:val="24"/>
        </w:rPr>
        <w:tab/>
        <w:t xml:space="preserve">SPS must report the </w:t>
      </w:r>
      <w:r w:rsidR="00AB1D4C">
        <w:rPr>
          <w:rFonts w:ascii="Times New Roman" w:hAnsi="Times New Roman" w:cs="Times New Roman"/>
          <w:sz w:val="24"/>
          <w:szCs w:val="24"/>
        </w:rPr>
        <w:t>p</w:t>
      </w:r>
      <w:r w:rsidRPr="008B52BC">
        <w:rPr>
          <w:rFonts w:ascii="Times New Roman" w:hAnsi="Times New Roman" w:cs="Times New Roman"/>
          <w:sz w:val="24"/>
          <w:szCs w:val="24"/>
        </w:rPr>
        <w:t xml:space="preserve">roject approved by the Commission on its monthly construction progress reports before the start of construction to reflect the final estimated cost and schedule. In addition, SPS must provide final construction costs, with any necessary explanation for cost variance, after completion of construction when all costs have been identified. </w:t>
      </w:r>
    </w:p>
    <w:p w14:paraId="635ECE0D" w14:textId="77777777" w:rsidR="008B52BC" w:rsidRPr="008B52BC" w:rsidRDefault="008B52BC" w:rsidP="008B52BC">
      <w:pPr>
        <w:keepNext/>
        <w:spacing w:after="120" w:line="240" w:lineRule="auto"/>
        <w:outlineLvl w:val="0"/>
        <w:rPr>
          <w:rFonts w:ascii="Times New Roman" w:eastAsia="Times New Roman" w:hAnsi="Times New Roman" w:cs="Times New Roman"/>
          <w:bCs/>
          <w:caps/>
          <w:sz w:val="24"/>
          <w:szCs w:val="24"/>
        </w:rPr>
      </w:pPr>
    </w:p>
    <w:p w14:paraId="4713A928" w14:textId="77777777" w:rsidR="008B52BC" w:rsidRPr="008B52BC" w:rsidRDefault="008B52BC" w:rsidP="0066424D">
      <w:pPr>
        <w:keepNext/>
        <w:numPr>
          <w:ilvl w:val="0"/>
          <w:numId w:val="13"/>
        </w:numPr>
        <w:spacing w:after="120" w:line="240" w:lineRule="auto"/>
        <w:jc w:val="center"/>
        <w:outlineLvl w:val="0"/>
        <w:rPr>
          <w:rFonts w:ascii="Times New Roman" w:eastAsia="Times New Roman" w:hAnsi="Times New Roman" w:cs="Times New Roman"/>
          <w:b/>
          <w:caps/>
          <w:sz w:val="24"/>
          <w:szCs w:val="24"/>
        </w:rPr>
      </w:pPr>
      <w:bookmarkStart w:id="39" w:name="_Toc103169733"/>
      <w:r w:rsidRPr="008B52BC">
        <w:rPr>
          <w:rFonts w:ascii="Times New Roman" w:eastAsia="Times New Roman" w:hAnsi="Times New Roman" w:cs="Times New Roman"/>
          <w:b/>
          <w:caps/>
          <w:sz w:val="24"/>
          <w:szCs w:val="24"/>
        </w:rPr>
        <w:t>Other REgulatory Approvals (P.O. Issue NOS. 34, 35, 36, 37, 38)</w:t>
      </w:r>
      <w:bookmarkEnd w:id="39"/>
    </w:p>
    <w:p w14:paraId="7F2E4229" w14:textId="62A7DE4D" w:rsidR="00976E77" w:rsidRPr="00976E77" w:rsidRDefault="00DF3DA9" w:rsidP="00153B7E">
      <w:pPr>
        <w:pStyle w:val="Caption"/>
        <w:spacing w:after="120" w:line="360" w:lineRule="auto"/>
        <w:ind w:firstLine="720"/>
      </w:pPr>
      <w:bookmarkStart w:id="40" w:name="_Toc34653802"/>
      <w:r w:rsidRPr="00DF3DA9">
        <w:t>SPS must seek regulatory approvals from multiple regulatory authorities to convert the Harrington Station from coal to natural gas generation. SPS included a table listing these regulatory authorities within Table 1-1 of its Environmental Assessment.</w:t>
      </w:r>
      <w:r w:rsidRPr="00DF3DA9">
        <w:rPr>
          <w:rStyle w:val="FootnoteReference"/>
          <w:szCs w:val="24"/>
        </w:rPr>
        <w:footnoteReference w:id="55"/>
      </w:r>
      <w:r w:rsidRPr="00DF3DA9">
        <w:t xml:space="preserve"> Table 1-1 lists the following regulatory authorities</w:t>
      </w:r>
      <w:r>
        <w:t>:</w:t>
      </w:r>
    </w:p>
    <w:p w14:paraId="640A5D81"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United State Army Corps of Engineers – Tulsa District;</w:t>
      </w:r>
    </w:p>
    <w:p w14:paraId="7CB1FEAB"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United States Environmental Protection Agency;</w:t>
      </w:r>
    </w:p>
    <w:p w14:paraId="5383DA09"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United States Fish and Wildlife Service – Arlington Ecological Field Services Office;</w:t>
      </w:r>
    </w:p>
    <w:p w14:paraId="0450651D"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New Mexico Public Regulation Commission;</w:t>
      </w:r>
    </w:p>
    <w:p w14:paraId="1B43B4D9"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Public Utility Commission of Texas (PUC);</w:t>
      </w:r>
    </w:p>
    <w:p w14:paraId="0F7D9BDD"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Railroad Commission of Texas;</w:t>
      </w:r>
    </w:p>
    <w:p w14:paraId="60D11525"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Texas Commission on Environmental Quality;</w:t>
      </w:r>
    </w:p>
    <w:p w14:paraId="50251E8E"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Texas General Land Office (GLO);</w:t>
      </w:r>
    </w:p>
    <w:p w14:paraId="3B121FED"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Texas Historical Commission;</w:t>
      </w:r>
    </w:p>
    <w:p w14:paraId="415FA7FB"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Texas Parks and Wildlife Department;</w:t>
      </w:r>
    </w:p>
    <w:p w14:paraId="0DBC1CB5" w14:textId="77777777" w:rsidR="00DF3DA9" w:rsidRPr="00DF3DA9" w:rsidRDefault="00DF3DA9" w:rsidP="00153B7E">
      <w:pPr>
        <w:pStyle w:val="Caption"/>
        <w:numPr>
          <w:ilvl w:val="0"/>
          <w:numId w:val="39"/>
        </w:numPr>
        <w:spacing w:after="120"/>
        <w:ind w:left="1080" w:right="720"/>
        <w:rPr>
          <w:rFonts w:eastAsiaTheme="minorHAnsi"/>
        </w:rPr>
      </w:pPr>
      <w:r w:rsidRPr="00DF3DA9">
        <w:rPr>
          <w:rFonts w:eastAsiaTheme="minorHAnsi"/>
        </w:rPr>
        <w:t>Floodplain Administrator;</w:t>
      </w:r>
    </w:p>
    <w:p w14:paraId="1F1E652A" w14:textId="77777777" w:rsidR="00976E77" w:rsidRDefault="00DF3DA9" w:rsidP="00153B7E">
      <w:pPr>
        <w:pStyle w:val="Caption"/>
        <w:numPr>
          <w:ilvl w:val="0"/>
          <w:numId w:val="39"/>
        </w:numPr>
        <w:spacing w:after="120"/>
        <w:ind w:left="1080" w:right="720"/>
        <w:rPr>
          <w:rFonts w:eastAsiaTheme="minorHAnsi"/>
        </w:rPr>
      </w:pPr>
      <w:r w:rsidRPr="00DF3DA9">
        <w:rPr>
          <w:rFonts w:eastAsiaTheme="minorHAnsi"/>
        </w:rPr>
        <w:t>Native American Tribes.</w:t>
      </w:r>
      <w:r w:rsidRPr="00DF3DA9">
        <w:rPr>
          <w:rStyle w:val="FootnoteReference"/>
          <w:rFonts w:eastAsiaTheme="minorHAnsi"/>
          <w:szCs w:val="24"/>
        </w:rPr>
        <w:footnoteReference w:id="56"/>
      </w:r>
    </w:p>
    <w:p w14:paraId="04584ED6" w14:textId="5D080A8F" w:rsidR="00566C8D" w:rsidRPr="0020467B" w:rsidRDefault="00EB7A44" w:rsidP="00153B7E">
      <w:pPr>
        <w:pStyle w:val="Caption"/>
        <w:spacing w:after="120" w:line="360" w:lineRule="auto"/>
        <w:rPr>
          <w:rFonts w:eastAsiaTheme="minorHAnsi"/>
        </w:rPr>
      </w:pPr>
      <w:r>
        <w:rPr>
          <w:b/>
          <w:bCs/>
          <w:szCs w:val="24"/>
        </w:rPr>
        <w:tab/>
      </w:r>
      <w:r w:rsidR="00DF3DA9" w:rsidRPr="00976E77">
        <w:rPr>
          <w:szCs w:val="24"/>
        </w:rPr>
        <w:t>From the Railroad Commission of Texas, SPS must obtain a T-4 Permit to Operate Pipeline and a Permit to Discharge Hydrostatic Test Water to Land Surface.</w:t>
      </w:r>
      <w:r w:rsidR="00DF3DA9" w:rsidRPr="00AE3ACA">
        <w:rPr>
          <w:rStyle w:val="FootnoteReference"/>
          <w:szCs w:val="24"/>
        </w:rPr>
        <w:footnoteReference w:id="57"/>
      </w:r>
      <w:r w:rsidR="00566C8D" w:rsidRPr="00976E77">
        <w:rPr>
          <w:szCs w:val="24"/>
        </w:rPr>
        <w:t xml:space="preserve">                                                         </w:t>
      </w:r>
    </w:p>
    <w:p w14:paraId="24E7E651" w14:textId="77777777" w:rsidR="008B52BC" w:rsidRPr="008B52BC" w:rsidRDefault="008B52BC" w:rsidP="0066424D">
      <w:pPr>
        <w:keepNext/>
        <w:numPr>
          <w:ilvl w:val="0"/>
          <w:numId w:val="13"/>
        </w:numPr>
        <w:spacing w:after="120" w:line="240" w:lineRule="auto"/>
        <w:jc w:val="center"/>
        <w:outlineLvl w:val="0"/>
        <w:rPr>
          <w:rFonts w:ascii="Times New Roman" w:eastAsia="Times New Roman" w:hAnsi="Times New Roman" w:cs="Times New Roman"/>
          <w:b/>
          <w:caps/>
          <w:sz w:val="24"/>
          <w:szCs w:val="18"/>
        </w:rPr>
      </w:pPr>
      <w:bookmarkStart w:id="41" w:name="_Toc103169734"/>
      <w:r w:rsidRPr="008B52BC">
        <w:rPr>
          <w:rFonts w:ascii="Times New Roman" w:eastAsia="Times New Roman" w:hAnsi="Times New Roman" w:cs="Times New Roman"/>
          <w:b/>
          <w:caps/>
          <w:sz w:val="24"/>
          <w:szCs w:val="18"/>
        </w:rPr>
        <w:lastRenderedPageBreak/>
        <w:t>PERMITS (P.O. Issue NO. 39)</w:t>
      </w:r>
      <w:bookmarkEnd w:id="41"/>
      <w:r w:rsidRPr="008B52BC">
        <w:rPr>
          <w:rFonts w:ascii="Times New Roman" w:eastAsia="Times New Roman" w:hAnsi="Times New Roman" w:cs="Times New Roman"/>
          <w:b/>
          <w:caps/>
          <w:sz w:val="24"/>
          <w:szCs w:val="18"/>
        </w:rPr>
        <w:t xml:space="preserve"> </w:t>
      </w:r>
    </w:p>
    <w:p w14:paraId="49B63B55" w14:textId="77777777" w:rsidR="00566C8D" w:rsidRPr="00566C8D" w:rsidRDefault="00566C8D" w:rsidP="00566C8D">
      <w:pPr>
        <w:keepNext/>
        <w:spacing w:after="120" w:line="360" w:lineRule="auto"/>
        <w:ind w:firstLine="720"/>
        <w:outlineLvl w:val="0"/>
        <w:rPr>
          <w:rFonts w:ascii="Times New Roman" w:hAnsi="Times New Roman" w:cs="Times New Roman"/>
          <w:sz w:val="24"/>
          <w:szCs w:val="24"/>
        </w:rPr>
      </w:pPr>
      <w:bookmarkStart w:id="42" w:name="_Toc103169735"/>
      <w:r w:rsidRPr="00566C8D">
        <w:rPr>
          <w:rFonts w:ascii="Times New Roman" w:hAnsi="Times New Roman" w:cs="Times New Roman"/>
          <w:sz w:val="24"/>
          <w:szCs w:val="24"/>
        </w:rPr>
        <w:t>Within its Environmental Assessment, SPS included a table listing all of the necessary permits that would be required for the construction and operation of the proposed project.</w:t>
      </w:r>
      <w:r w:rsidRPr="00566C8D">
        <w:rPr>
          <w:rStyle w:val="FootnoteReference"/>
          <w:rFonts w:ascii="Times New Roman" w:hAnsi="Times New Roman" w:cs="Times New Roman"/>
          <w:szCs w:val="24"/>
        </w:rPr>
        <w:footnoteReference w:id="58"/>
      </w:r>
      <w:r w:rsidRPr="00566C8D">
        <w:rPr>
          <w:rFonts w:ascii="Times New Roman" w:hAnsi="Times New Roman" w:cs="Times New Roman"/>
          <w:sz w:val="24"/>
          <w:szCs w:val="24"/>
        </w:rPr>
        <w:t xml:space="preserve">  Table 1-1 lists the following required permits:</w:t>
      </w:r>
      <w:bookmarkEnd w:id="42"/>
    </w:p>
    <w:p w14:paraId="6F0EFAB3" w14:textId="77777777" w:rsidR="00566C8D" w:rsidRPr="00566C8D" w:rsidRDefault="00566C8D" w:rsidP="00153B7E">
      <w:pPr>
        <w:pStyle w:val="ListParagraph"/>
        <w:keepNext/>
        <w:numPr>
          <w:ilvl w:val="0"/>
          <w:numId w:val="38"/>
        </w:numPr>
        <w:spacing w:after="120"/>
        <w:ind w:right="720"/>
        <w:outlineLvl w:val="0"/>
        <w:rPr>
          <w:sz w:val="24"/>
          <w:szCs w:val="24"/>
        </w:rPr>
      </w:pPr>
      <w:bookmarkStart w:id="43" w:name="_Toc103169736"/>
      <w:r w:rsidRPr="00566C8D">
        <w:rPr>
          <w:sz w:val="24"/>
          <w:szCs w:val="24"/>
        </w:rPr>
        <w:t>Clean Water Act, Section 404 Permit;</w:t>
      </w:r>
      <w:bookmarkEnd w:id="43"/>
    </w:p>
    <w:p w14:paraId="2CB4A887" w14:textId="77777777" w:rsidR="00566C8D" w:rsidRPr="00566C8D" w:rsidRDefault="00566C8D" w:rsidP="00153B7E">
      <w:pPr>
        <w:pStyle w:val="ListParagraph"/>
        <w:keepNext/>
        <w:numPr>
          <w:ilvl w:val="0"/>
          <w:numId w:val="38"/>
        </w:numPr>
        <w:spacing w:after="120"/>
        <w:ind w:right="720"/>
        <w:outlineLvl w:val="0"/>
        <w:rPr>
          <w:sz w:val="24"/>
          <w:szCs w:val="24"/>
        </w:rPr>
      </w:pPr>
      <w:bookmarkStart w:id="44" w:name="_Toc103169737"/>
      <w:r w:rsidRPr="00566C8D">
        <w:rPr>
          <w:sz w:val="24"/>
          <w:szCs w:val="24"/>
        </w:rPr>
        <w:t>Rivers and Harbors Act, Section 10 Permit;</w:t>
      </w:r>
      <w:bookmarkEnd w:id="44"/>
    </w:p>
    <w:p w14:paraId="29B2147E" w14:textId="77777777" w:rsidR="00566C8D" w:rsidRPr="00566C8D" w:rsidRDefault="00566C8D" w:rsidP="00153B7E">
      <w:pPr>
        <w:pStyle w:val="ListParagraph"/>
        <w:keepNext/>
        <w:numPr>
          <w:ilvl w:val="0"/>
          <w:numId w:val="38"/>
        </w:numPr>
        <w:spacing w:after="120"/>
        <w:ind w:right="720"/>
        <w:outlineLvl w:val="0"/>
        <w:rPr>
          <w:sz w:val="24"/>
          <w:szCs w:val="24"/>
        </w:rPr>
      </w:pPr>
      <w:bookmarkStart w:id="45" w:name="_Toc103169738"/>
      <w:r w:rsidRPr="00566C8D">
        <w:rPr>
          <w:sz w:val="24"/>
          <w:szCs w:val="24"/>
        </w:rPr>
        <w:t>Clean Water Act, Section 402 National Pollutant Discharge Elimination System, General Permit for Discharges from Construction Activities;</w:t>
      </w:r>
      <w:bookmarkEnd w:id="45"/>
    </w:p>
    <w:p w14:paraId="2FC8EA42" w14:textId="77777777" w:rsidR="00566C8D" w:rsidRPr="00566C8D" w:rsidRDefault="00566C8D" w:rsidP="00153B7E">
      <w:pPr>
        <w:pStyle w:val="ListParagraph"/>
        <w:keepNext/>
        <w:numPr>
          <w:ilvl w:val="0"/>
          <w:numId w:val="38"/>
        </w:numPr>
        <w:spacing w:after="120"/>
        <w:ind w:right="720"/>
        <w:outlineLvl w:val="0"/>
        <w:rPr>
          <w:sz w:val="24"/>
          <w:szCs w:val="24"/>
        </w:rPr>
      </w:pPr>
      <w:bookmarkStart w:id="46" w:name="_Toc103169739"/>
      <w:r w:rsidRPr="00566C8D">
        <w:rPr>
          <w:sz w:val="24"/>
          <w:szCs w:val="24"/>
        </w:rPr>
        <w:t>Endangered Species Act, Section 7 Consultation;</w:t>
      </w:r>
      <w:bookmarkEnd w:id="46"/>
    </w:p>
    <w:p w14:paraId="49CFC091" w14:textId="77777777" w:rsidR="00566C8D" w:rsidRPr="00566C8D" w:rsidRDefault="00566C8D" w:rsidP="00153B7E">
      <w:pPr>
        <w:pStyle w:val="ListParagraph"/>
        <w:keepNext/>
        <w:numPr>
          <w:ilvl w:val="0"/>
          <w:numId w:val="38"/>
        </w:numPr>
        <w:spacing w:after="120"/>
        <w:ind w:right="720"/>
        <w:outlineLvl w:val="0"/>
        <w:rPr>
          <w:sz w:val="24"/>
          <w:szCs w:val="24"/>
        </w:rPr>
      </w:pPr>
      <w:bookmarkStart w:id="47" w:name="_Toc103169740"/>
      <w:r w:rsidRPr="00566C8D">
        <w:rPr>
          <w:sz w:val="24"/>
          <w:szCs w:val="24"/>
        </w:rPr>
        <w:t>Migratory Bird Treaty Act Coordination;</w:t>
      </w:r>
      <w:bookmarkEnd w:id="47"/>
    </w:p>
    <w:p w14:paraId="421B454E" w14:textId="77777777" w:rsidR="00566C8D" w:rsidRPr="00566C8D" w:rsidRDefault="00566C8D" w:rsidP="00153B7E">
      <w:pPr>
        <w:pStyle w:val="ListParagraph"/>
        <w:keepNext/>
        <w:numPr>
          <w:ilvl w:val="0"/>
          <w:numId w:val="38"/>
        </w:numPr>
        <w:spacing w:after="120"/>
        <w:ind w:right="720"/>
        <w:outlineLvl w:val="0"/>
        <w:rPr>
          <w:sz w:val="24"/>
          <w:szCs w:val="24"/>
        </w:rPr>
      </w:pPr>
      <w:bookmarkStart w:id="48" w:name="_Toc103169741"/>
      <w:r w:rsidRPr="00566C8D">
        <w:rPr>
          <w:sz w:val="24"/>
          <w:szCs w:val="24"/>
        </w:rPr>
        <w:t>Bald and Golden Eagle Protection Act Coordination;</w:t>
      </w:r>
      <w:bookmarkEnd w:id="48"/>
    </w:p>
    <w:p w14:paraId="2B3E97E1" w14:textId="77777777" w:rsidR="00566C8D" w:rsidRPr="00566C8D" w:rsidRDefault="00566C8D" w:rsidP="00153B7E">
      <w:pPr>
        <w:pStyle w:val="ListParagraph"/>
        <w:keepNext/>
        <w:numPr>
          <w:ilvl w:val="0"/>
          <w:numId w:val="38"/>
        </w:numPr>
        <w:spacing w:after="120"/>
        <w:ind w:right="720"/>
        <w:outlineLvl w:val="0"/>
        <w:rPr>
          <w:sz w:val="24"/>
          <w:szCs w:val="24"/>
        </w:rPr>
      </w:pPr>
      <w:bookmarkStart w:id="49" w:name="_Toc103169742"/>
      <w:r w:rsidRPr="00566C8D">
        <w:rPr>
          <w:sz w:val="24"/>
          <w:szCs w:val="24"/>
        </w:rPr>
        <w:t>Amended Certificate of Convenience and Necessity (New Mexico Public Regulation Commission);</w:t>
      </w:r>
      <w:bookmarkEnd w:id="49"/>
    </w:p>
    <w:p w14:paraId="1B5564B6" w14:textId="77777777" w:rsidR="00566C8D" w:rsidRPr="00566C8D" w:rsidRDefault="00566C8D" w:rsidP="00153B7E">
      <w:pPr>
        <w:pStyle w:val="ListParagraph"/>
        <w:keepNext/>
        <w:numPr>
          <w:ilvl w:val="0"/>
          <w:numId w:val="38"/>
        </w:numPr>
        <w:spacing w:after="120"/>
        <w:ind w:right="720"/>
        <w:outlineLvl w:val="0"/>
        <w:rPr>
          <w:sz w:val="24"/>
          <w:szCs w:val="24"/>
        </w:rPr>
      </w:pPr>
      <w:bookmarkStart w:id="50" w:name="_Toc103169743"/>
      <w:r w:rsidRPr="00566C8D">
        <w:rPr>
          <w:sz w:val="24"/>
          <w:szCs w:val="24"/>
        </w:rPr>
        <w:t>Amended Certificate of Convenience and Necessity (Public Utility Commission of Texas);</w:t>
      </w:r>
      <w:bookmarkEnd w:id="50"/>
    </w:p>
    <w:p w14:paraId="36056905" w14:textId="77777777" w:rsidR="00566C8D" w:rsidRPr="00566C8D" w:rsidRDefault="00566C8D" w:rsidP="00153B7E">
      <w:pPr>
        <w:pStyle w:val="ListParagraph"/>
        <w:keepNext/>
        <w:numPr>
          <w:ilvl w:val="0"/>
          <w:numId w:val="38"/>
        </w:numPr>
        <w:spacing w:after="120"/>
        <w:ind w:right="720"/>
        <w:outlineLvl w:val="0"/>
        <w:rPr>
          <w:sz w:val="24"/>
          <w:szCs w:val="24"/>
        </w:rPr>
      </w:pPr>
      <w:bookmarkStart w:id="51" w:name="_Toc103169744"/>
      <w:r w:rsidRPr="00566C8D">
        <w:rPr>
          <w:sz w:val="24"/>
          <w:szCs w:val="24"/>
        </w:rPr>
        <w:t>T-4 Permit to Operate Pipeline;</w:t>
      </w:r>
      <w:bookmarkEnd w:id="51"/>
    </w:p>
    <w:p w14:paraId="089AA290" w14:textId="77777777" w:rsidR="00566C8D" w:rsidRPr="00566C8D" w:rsidRDefault="00566C8D" w:rsidP="00153B7E">
      <w:pPr>
        <w:pStyle w:val="ListParagraph"/>
        <w:keepNext/>
        <w:numPr>
          <w:ilvl w:val="0"/>
          <w:numId w:val="38"/>
        </w:numPr>
        <w:spacing w:after="120"/>
        <w:ind w:right="720"/>
        <w:outlineLvl w:val="0"/>
        <w:rPr>
          <w:sz w:val="24"/>
          <w:szCs w:val="24"/>
        </w:rPr>
      </w:pPr>
      <w:bookmarkStart w:id="52" w:name="_Toc103169745"/>
      <w:r w:rsidRPr="00566C8D">
        <w:rPr>
          <w:sz w:val="24"/>
          <w:szCs w:val="24"/>
        </w:rPr>
        <w:t>Permit to Discharge Hydrostatic Test Water to Land Surface;</w:t>
      </w:r>
      <w:bookmarkEnd w:id="52"/>
    </w:p>
    <w:p w14:paraId="2F5B1534" w14:textId="77777777" w:rsidR="00566C8D" w:rsidRPr="00566C8D" w:rsidRDefault="00566C8D" w:rsidP="00153B7E">
      <w:pPr>
        <w:pStyle w:val="ListParagraph"/>
        <w:keepNext/>
        <w:numPr>
          <w:ilvl w:val="0"/>
          <w:numId w:val="38"/>
        </w:numPr>
        <w:spacing w:after="120"/>
        <w:ind w:right="720"/>
        <w:outlineLvl w:val="0"/>
        <w:rPr>
          <w:sz w:val="24"/>
          <w:szCs w:val="24"/>
        </w:rPr>
      </w:pPr>
      <w:bookmarkStart w:id="53" w:name="_Toc103169746"/>
      <w:r w:rsidRPr="00566C8D">
        <w:rPr>
          <w:sz w:val="24"/>
          <w:szCs w:val="24"/>
        </w:rPr>
        <w:t>Clean Water Act, Section 401 Water Quality Certification;</w:t>
      </w:r>
      <w:bookmarkEnd w:id="53"/>
    </w:p>
    <w:p w14:paraId="544929C8" w14:textId="77777777" w:rsidR="00566C8D" w:rsidRPr="00566C8D" w:rsidRDefault="00566C8D" w:rsidP="00153B7E">
      <w:pPr>
        <w:pStyle w:val="ListParagraph"/>
        <w:keepNext/>
        <w:numPr>
          <w:ilvl w:val="0"/>
          <w:numId w:val="38"/>
        </w:numPr>
        <w:spacing w:after="120"/>
        <w:ind w:right="720"/>
        <w:outlineLvl w:val="0"/>
        <w:rPr>
          <w:sz w:val="24"/>
          <w:szCs w:val="24"/>
        </w:rPr>
      </w:pPr>
      <w:bookmarkStart w:id="54" w:name="_Toc103169747"/>
      <w:r w:rsidRPr="00566C8D">
        <w:rPr>
          <w:sz w:val="24"/>
          <w:szCs w:val="24"/>
        </w:rPr>
        <w:t>Temporary Water Use Permit;</w:t>
      </w:r>
      <w:bookmarkEnd w:id="54"/>
    </w:p>
    <w:p w14:paraId="15D4B8D9" w14:textId="77777777" w:rsidR="00566C8D" w:rsidRPr="00566C8D" w:rsidRDefault="00566C8D" w:rsidP="00153B7E">
      <w:pPr>
        <w:pStyle w:val="ListParagraph"/>
        <w:keepNext/>
        <w:numPr>
          <w:ilvl w:val="0"/>
          <w:numId w:val="38"/>
        </w:numPr>
        <w:spacing w:after="120"/>
        <w:ind w:right="720"/>
        <w:outlineLvl w:val="0"/>
        <w:rPr>
          <w:sz w:val="24"/>
          <w:szCs w:val="24"/>
        </w:rPr>
      </w:pPr>
      <w:bookmarkStart w:id="55" w:name="_Toc103169748"/>
      <w:r w:rsidRPr="00566C8D">
        <w:rPr>
          <w:sz w:val="24"/>
          <w:szCs w:val="24"/>
        </w:rPr>
        <w:t>State Land Right-of-Way Grant;</w:t>
      </w:r>
      <w:bookmarkEnd w:id="55"/>
    </w:p>
    <w:p w14:paraId="1CC4127C" w14:textId="77777777" w:rsidR="00566C8D" w:rsidRPr="00566C8D" w:rsidRDefault="00566C8D" w:rsidP="00153B7E">
      <w:pPr>
        <w:pStyle w:val="ListParagraph"/>
        <w:keepNext/>
        <w:numPr>
          <w:ilvl w:val="0"/>
          <w:numId w:val="38"/>
        </w:numPr>
        <w:spacing w:after="120"/>
        <w:ind w:right="720"/>
        <w:outlineLvl w:val="0"/>
        <w:rPr>
          <w:sz w:val="24"/>
          <w:szCs w:val="24"/>
        </w:rPr>
      </w:pPr>
      <w:bookmarkStart w:id="56" w:name="_Toc103169749"/>
      <w:r w:rsidRPr="00566C8D">
        <w:rPr>
          <w:sz w:val="24"/>
          <w:szCs w:val="24"/>
        </w:rPr>
        <w:t>National Historic Preservation Act, Section 106 Consultation;</w:t>
      </w:r>
      <w:bookmarkEnd w:id="56"/>
    </w:p>
    <w:p w14:paraId="2905D49F" w14:textId="77777777" w:rsidR="00566C8D" w:rsidRPr="00566C8D" w:rsidRDefault="00566C8D" w:rsidP="00153B7E">
      <w:pPr>
        <w:pStyle w:val="ListParagraph"/>
        <w:keepNext/>
        <w:numPr>
          <w:ilvl w:val="0"/>
          <w:numId w:val="38"/>
        </w:numPr>
        <w:spacing w:after="120"/>
        <w:ind w:right="720"/>
        <w:outlineLvl w:val="0"/>
        <w:rPr>
          <w:sz w:val="24"/>
          <w:szCs w:val="24"/>
        </w:rPr>
      </w:pPr>
      <w:bookmarkStart w:id="57" w:name="_Toc103169750"/>
      <w:r w:rsidRPr="00566C8D">
        <w:rPr>
          <w:sz w:val="24"/>
          <w:szCs w:val="24"/>
        </w:rPr>
        <w:t>Project Review (TPWD);</w:t>
      </w:r>
      <w:bookmarkEnd w:id="57"/>
    </w:p>
    <w:p w14:paraId="5FBAACBB" w14:textId="77777777" w:rsidR="00566C8D" w:rsidRPr="00566C8D" w:rsidRDefault="00566C8D" w:rsidP="00153B7E">
      <w:pPr>
        <w:pStyle w:val="ListParagraph"/>
        <w:keepNext/>
        <w:numPr>
          <w:ilvl w:val="0"/>
          <w:numId w:val="38"/>
        </w:numPr>
        <w:spacing w:after="120"/>
        <w:ind w:right="720"/>
        <w:outlineLvl w:val="0"/>
        <w:rPr>
          <w:sz w:val="24"/>
          <w:szCs w:val="24"/>
        </w:rPr>
      </w:pPr>
      <w:bookmarkStart w:id="58" w:name="_Toc103169751"/>
      <w:r w:rsidRPr="00566C8D">
        <w:rPr>
          <w:sz w:val="24"/>
          <w:szCs w:val="24"/>
        </w:rPr>
        <w:t>Floodplain Permit;</w:t>
      </w:r>
      <w:bookmarkEnd w:id="58"/>
    </w:p>
    <w:p w14:paraId="17815B07" w14:textId="4AD511B4" w:rsidR="00566C8D" w:rsidRDefault="00566C8D" w:rsidP="00153B7E">
      <w:pPr>
        <w:pStyle w:val="ListParagraph"/>
        <w:keepNext/>
        <w:numPr>
          <w:ilvl w:val="0"/>
          <w:numId w:val="38"/>
        </w:numPr>
        <w:spacing w:after="120"/>
        <w:ind w:right="720"/>
        <w:outlineLvl w:val="0"/>
        <w:rPr>
          <w:sz w:val="24"/>
          <w:szCs w:val="24"/>
        </w:rPr>
      </w:pPr>
      <w:bookmarkStart w:id="59" w:name="_Toc103169752"/>
      <w:r w:rsidRPr="00566C8D">
        <w:rPr>
          <w:sz w:val="24"/>
          <w:szCs w:val="24"/>
        </w:rPr>
        <w:t>National Historic Preservation Act, Section 106 Consultation.</w:t>
      </w:r>
      <w:r w:rsidRPr="00566C8D">
        <w:rPr>
          <w:rStyle w:val="FootnoteReference"/>
          <w:szCs w:val="24"/>
        </w:rPr>
        <w:footnoteReference w:id="59"/>
      </w:r>
      <w:bookmarkEnd w:id="59"/>
    </w:p>
    <w:p w14:paraId="6B14F570" w14:textId="77777777" w:rsidR="00566C8D" w:rsidRPr="00566C8D" w:rsidRDefault="00566C8D" w:rsidP="00566C8D">
      <w:pPr>
        <w:pStyle w:val="ListParagraph"/>
        <w:keepNext/>
        <w:spacing w:after="120"/>
        <w:ind w:left="1080" w:firstLine="0"/>
        <w:outlineLvl w:val="0"/>
        <w:rPr>
          <w:sz w:val="24"/>
          <w:szCs w:val="24"/>
        </w:rPr>
      </w:pPr>
    </w:p>
    <w:p w14:paraId="6F0DFEBB" w14:textId="77777777" w:rsidR="008B52BC" w:rsidRPr="008B52BC" w:rsidRDefault="008B52BC" w:rsidP="0066424D">
      <w:pPr>
        <w:keepNext/>
        <w:numPr>
          <w:ilvl w:val="0"/>
          <w:numId w:val="13"/>
        </w:numPr>
        <w:spacing w:after="120" w:line="240" w:lineRule="auto"/>
        <w:jc w:val="center"/>
        <w:outlineLvl w:val="0"/>
        <w:rPr>
          <w:rFonts w:ascii="Times New Roman" w:eastAsia="Times New Roman" w:hAnsi="Times New Roman" w:cs="Times New Roman"/>
          <w:b/>
          <w:caps/>
          <w:sz w:val="24"/>
          <w:szCs w:val="18"/>
        </w:rPr>
      </w:pPr>
      <w:bookmarkStart w:id="60" w:name="_Toc103169753"/>
      <w:r w:rsidRPr="008B52BC">
        <w:rPr>
          <w:rFonts w:ascii="Times New Roman" w:eastAsia="Times New Roman" w:hAnsi="Times New Roman" w:cs="Times New Roman"/>
          <w:b/>
          <w:caps/>
          <w:sz w:val="24"/>
          <w:szCs w:val="18"/>
        </w:rPr>
        <w:t>CONCLUSION</w:t>
      </w:r>
      <w:bookmarkEnd w:id="40"/>
      <w:bookmarkEnd w:id="60"/>
    </w:p>
    <w:p w14:paraId="0D5AB800" w14:textId="5024BEC2" w:rsidR="00566C8D" w:rsidRDefault="00566C8D" w:rsidP="00566C8D">
      <w:pPr>
        <w:spacing w:after="0" w:line="360" w:lineRule="auto"/>
        <w:ind w:firstLine="360"/>
        <w:jc w:val="both"/>
        <w:rPr>
          <w:rFonts w:ascii="Times New Roman" w:eastAsia="Times New Roman" w:hAnsi="Times New Roman" w:cs="Times New Roman"/>
          <w:sz w:val="24"/>
          <w:szCs w:val="24"/>
        </w:rPr>
      </w:pPr>
      <w:r w:rsidRPr="00566C8D">
        <w:rPr>
          <w:rFonts w:ascii="Times New Roman" w:eastAsia="Times New Roman" w:hAnsi="Times New Roman" w:cs="Times New Roman"/>
          <w:sz w:val="24"/>
          <w:szCs w:val="24"/>
        </w:rPr>
        <w:t xml:space="preserve">Staff respectfully recommends that the SOAH ALJ issue a proposal for decision finding that the conversion of the Harrington Power Station from coal generation to natural gas is necessary for the service, accommodation, convenience, and safety of the public. </w:t>
      </w:r>
      <w:r w:rsidR="002E2D9A">
        <w:rPr>
          <w:rFonts w:ascii="Times New Roman" w:eastAsia="Times New Roman" w:hAnsi="Times New Roman" w:cs="Times New Roman"/>
          <w:sz w:val="24"/>
          <w:szCs w:val="24"/>
        </w:rPr>
        <w:t>In addition</w:t>
      </w:r>
      <w:r w:rsidRPr="00566C8D">
        <w:rPr>
          <w:rFonts w:ascii="Times New Roman" w:eastAsia="Times New Roman" w:hAnsi="Times New Roman" w:cs="Times New Roman"/>
          <w:sz w:val="24"/>
          <w:szCs w:val="24"/>
        </w:rPr>
        <w:t xml:space="preserve">, Staff </w:t>
      </w:r>
      <w:r w:rsidRPr="00566C8D">
        <w:rPr>
          <w:rFonts w:ascii="Times New Roman" w:eastAsia="Times New Roman" w:hAnsi="Times New Roman" w:cs="Times New Roman"/>
          <w:sz w:val="24"/>
          <w:szCs w:val="24"/>
        </w:rPr>
        <w:lastRenderedPageBreak/>
        <w:t>recommends approval of the application</w:t>
      </w:r>
      <w:r w:rsidR="00AD792D">
        <w:rPr>
          <w:rFonts w:ascii="Times New Roman" w:eastAsia="Times New Roman" w:hAnsi="Times New Roman" w:cs="Times New Roman"/>
          <w:sz w:val="24"/>
          <w:szCs w:val="24"/>
        </w:rPr>
        <w:t xml:space="preserve"> with </w:t>
      </w:r>
      <w:r w:rsidR="00701CE4" w:rsidRPr="00701CE4">
        <w:rPr>
          <w:rFonts w:ascii="Times New Roman" w:eastAsia="Times New Roman" w:hAnsi="Times New Roman" w:cs="Times New Roman"/>
          <w:sz w:val="24"/>
          <w:szCs w:val="24"/>
        </w:rPr>
        <w:t xml:space="preserve">a cost cap </w:t>
      </w:r>
      <w:r w:rsidR="00701CE4">
        <w:rPr>
          <w:rFonts w:ascii="Times New Roman" w:eastAsia="Times New Roman" w:hAnsi="Times New Roman" w:cs="Times New Roman"/>
          <w:sz w:val="24"/>
          <w:szCs w:val="24"/>
        </w:rPr>
        <w:t xml:space="preserve">of $70 million, </w:t>
      </w:r>
      <w:r w:rsidR="002E2D9A">
        <w:rPr>
          <w:rFonts w:ascii="Times New Roman" w:eastAsia="Times New Roman" w:hAnsi="Times New Roman" w:cs="Times New Roman"/>
          <w:sz w:val="24"/>
          <w:szCs w:val="24"/>
        </w:rPr>
        <w:t xml:space="preserve">including AFUDC; </w:t>
      </w:r>
      <w:r w:rsidR="00701CE4">
        <w:rPr>
          <w:rFonts w:ascii="Times New Roman" w:eastAsia="Times New Roman" w:hAnsi="Times New Roman" w:cs="Times New Roman"/>
          <w:sz w:val="24"/>
          <w:szCs w:val="24"/>
        </w:rPr>
        <w:t>reporting requirements regarding both construction of the project and SPS’s IRP</w:t>
      </w:r>
      <w:r w:rsidR="002E2D9A">
        <w:rPr>
          <w:rFonts w:ascii="Times New Roman" w:eastAsia="Times New Roman" w:hAnsi="Times New Roman" w:cs="Times New Roman"/>
          <w:sz w:val="24"/>
          <w:szCs w:val="24"/>
        </w:rPr>
        <w:t>;</w:t>
      </w:r>
      <w:r w:rsidR="00701CE4">
        <w:rPr>
          <w:rFonts w:ascii="Times New Roman" w:eastAsia="Times New Roman" w:hAnsi="Times New Roman" w:cs="Times New Roman"/>
          <w:sz w:val="24"/>
          <w:szCs w:val="24"/>
        </w:rPr>
        <w:t xml:space="preserve"> mitigation requirements for construction</w:t>
      </w:r>
      <w:r w:rsidR="002E2D9A">
        <w:rPr>
          <w:rFonts w:ascii="Times New Roman" w:eastAsia="Times New Roman" w:hAnsi="Times New Roman" w:cs="Times New Roman"/>
          <w:sz w:val="24"/>
          <w:szCs w:val="24"/>
        </w:rPr>
        <w:t>;</w:t>
      </w:r>
      <w:r w:rsidR="00701CE4">
        <w:rPr>
          <w:rFonts w:ascii="Times New Roman" w:eastAsia="Times New Roman" w:hAnsi="Times New Roman" w:cs="Times New Roman"/>
          <w:sz w:val="24"/>
          <w:szCs w:val="24"/>
        </w:rPr>
        <w:t xml:space="preserve"> and the selection of pipeline Route 2.</w:t>
      </w:r>
    </w:p>
    <w:p w14:paraId="4616D9EC" w14:textId="77777777" w:rsidR="008B52BC" w:rsidRPr="008B52BC" w:rsidRDefault="008B52BC" w:rsidP="008B52BC">
      <w:pPr>
        <w:spacing w:after="0" w:line="240" w:lineRule="auto"/>
        <w:jc w:val="both"/>
        <w:rPr>
          <w:rFonts w:ascii="Times New Roman" w:eastAsia="Times New Roman" w:hAnsi="Times New Roman" w:cs="Times New Roman"/>
          <w:b/>
          <w:sz w:val="24"/>
          <w:szCs w:val="24"/>
        </w:rPr>
      </w:pPr>
    </w:p>
    <w:p w14:paraId="75B306E0" w14:textId="77777777" w:rsidR="008B52BC" w:rsidRPr="008B52BC" w:rsidRDefault="008B52BC" w:rsidP="008B52BC">
      <w:pPr>
        <w:spacing w:after="0" w:line="240" w:lineRule="auto"/>
        <w:jc w:val="center"/>
        <w:rPr>
          <w:rFonts w:ascii="Times New Roman" w:eastAsia="Times New Roman" w:hAnsi="Times New Roman" w:cs="Times New Roman"/>
          <w:b/>
          <w:caps/>
          <w:sz w:val="24"/>
          <w:szCs w:val="24"/>
        </w:rPr>
      </w:pPr>
    </w:p>
    <w:p w14:paraId="701BBEE6" w14:textId="77777777" w:rsidR="008B52BC" w:rsidRPr="008B52BC" w:rsidRDefault="008B52BC" w:rsidP="008B52BC">
      <w:pPr>
        <w:spacing w:after="0" w:line="240" w:lineRule="auto"/>
        <w:jc w:val="center"/>
        <w:rPr>
          <w:rFonts w:ascii="Times New Roman" w:eastAsia="Times New Roman" w:hAnsi="Times New Roman" w:cs="Times New Roman"/>
          <w:b/>
          <w:caps/>
          <w:sz w:val="24"/>
          <w:szCs w:val="24"/>
        </w:rPr>
      </w:pPr>
      <w:r w:rsidRPr="008B52BC">
        <w:rPr>
          <w:rFonts w:ascii="Times New Roman" w:eastAsia="Times New Roman" w:hAnsi="Times New Roman" w:cs="Times New Roman"/>
          <w:b/>
          <w:caps/>
          <w:sz w:val="24"/>
          <w:szCs w:val="24"/>
        </w:rPr>
        <w:t>SOAH DOCKET NO. 473-22-1073</w:t>
      </w:r>
    </w:p>
    <w:p w14:paraId="737783C0" w14:textId="77777777" w:rsidR="008B52BC" w:rsidRPr="008B52BC" w:rsidRDefault="008B52BC" w:rsidP="008B52BC">
      <w:pPr>
        <w:spacing w:after="0" w:line="240" w:lineRule="auto"/>
        <w:jc w:val="center"/>
        <w:rPr>
          <w:rFonts w:ascii="Times New Roman" w:eastAsia="Times New Roman" w:hAnsi="Times New Roman" w:cs="Times New Roman"/>
          <w:b/>
          <w:caps/>
          <w:sz w:val="24"/>
          <w:szCs w:val="24"/>
        </w:rPr>
      </w:pPr>
      <w:r w:rsidRPr="008B52BC">
        <w:rPr>
          <w:rFonts w:ascii="Times New Roman" w:eastAsia="Times New Roman" w:hAnsi="Times New Roman" w:cs="Times New Roman"/>
          <w:b/>
          <w:caps/>
          <w:sz w:val="24"/>
          <w:szCs w:val="24"/>
        </w:rPr>
        <w:t>PUC DOCKET NO. 52485</w:t>
      </w:r>
    </w:p>
    <w:p w14:paraId="4B0642E0" w14:textId="77777777" w:rsidR="008B52BC" w:rsidRPr="008B52BC" w:rsidRDefault="008B52BC" w:rsidP="008B52BC">
      <w:pPr>
        <w:keepNext/>
        <w:spacing w:after="0" w:line="360" w:lineRule="auto"/>
        <w:jc w:val="center"/>
        <w:rPr>
          <w:rFonts w:ascii="Times New Roman" w:eastAsia="Times New Roman" w:hAnsi="Times New Roman" w:cs="Times New Roman"/>
          <w:b/>
          <w:sz w:val="24"/>
          <w:szCs w:val="24"/>
        </w:rPr>
      </w:pPr>
    </w:p>
    <w:p w14:paraId="4A407B64" w14:textId="77777777" w:rsidR="008B52BC" w:rsidRPr="008B52BC" w:rsidRDefault="008B52BC" w:rsidP="008B52BC">
      <w:pPr>
        <w:keepNext/>
        <w:spacing w:after="0" w:line="360" w:lineRule="auto"/>
        <w:jc w:val="center"/>
        <w:rPr>
          <w:rFonts w:ascii="Times New Roman" w:eastAsia="Times New Roman" w:hAnsi="Times New Roman" w:cs="Times New Roman"/>
          <w:b/>
          <w:sz w:val="24"/>
          <w:szCs w:val="24"/>
        </w:rPr>
      </w:pPr>
      <w:r w:rsidRPr="008B52BC">
        <w:rPr>
          <w:rFonts w:ascii="Times New Roman" w:eastAsia="Times New Roman" w:hAnsi="Times New Roman" w:cs="Times New Roman"/>
          <w:b/>
          <w:sz w:val="24"/>
          <w:szCs w:val="24"/>
        </w:rPr>
        <w:t>CERTIFICATE OF SERVICE</w:t>
      </w:r>
    </w:p>
    <w:p w14:paraId="26CA9A60" w14:textId="6052BD7C" w:rsidR="008B52BC" w:rsidRPr="008B52BC" w:rsidRDefault="008B52BC" w:rsidP="008B52BC">
      <w:pPr>
        <w:keepNext/>
        <w:spacing w:after="0" w:line="360" w:lineRule="auto"/>
        <w:ind w:firstLine="720"/>
        <w:jc w:val="both"/>
        <w:rPr>
          <w:rFonts w:ascii="Times New Roman" w:eastAsia="Times New Roman" w:hAnsi="Times New Roman" w:cs="Times New Roman"/>
          <w:sz w:val="24"/>
          <w:szCs w:val="24"/>
        </w:rPr>
      </w:pPr>
      <w:r w:rsidRPr="008B52BC">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8B52BC">
        <w:rPr>
          <w:rFonts w:ascii="Times New Roman" w:eastAsia="Times New Roman" w:hAnsi="Times New Roman" w:cs="Times New Roman"/>
          <w:sz w:val="24"/>
          <w:szCs w:val="24"/>
        </w:rPr>
        <w:fldChar w:fldCharType="begin"/>
      </w:r>
      <w:r w:rsidRPr="008B52BC">
        <w:rPr>
          <w:rFonts w:ascii="Times New Roman" w:eastAsia="Times New Roman" w:hAnsi="Times New Roman" w:cs="Times New Roman"/>
          <w:sz w:val="24"/>
          <w:szCs w:val="24"/>
        </w:rPr>
        <w:instrText xml:space="preserve"> DATE \@ "MMMM d, yyyy" </w:instrText>
      </w:r>
      <w:r w:rsidRPr="008B52BC">
        <w:rPr>
          <w:rFonts w:ascii="Times New Roman" w:eastAsia="Times New Roman" w:hAnsi="Times New Roman" w:cs="Times New Roman"/>
          <w:sz w:val="24"/>
          <w:szCs w:val="24"/>
        </w:rPr>
        <w:fldChar w:fldCharType="separate"/>
      </w:r>
      <w:r w:rsidR="0096627C">
        <w:rPr>
          <w:rFonts w:ascii="Times New Roman" w:eastAsia="Times New Roman" w:hAnsi="Times New Roman" w:cs="Times New Roman"/>
          <w:noProof/>
          <w:sz w:val="24"/>
          <w:szCs w:val="24"/>
        </w:rPr>
        <w:t>May 11, 2022</w:t>
      </w:r>
      <w:r w:rsidRPr="008B52BC">
        <w:rPr>
          <w:rFonts w:ascii="Times New Roman" w:eastAsia="Times New Roman" w:hAnsi="Times New Roman" w:cs="Times New Roman"/>
          <w:sz w:val="24"/>
          <w:szCs w:val="24"/>
        </w:rPr>
        <w:fldChar w:fldCharType="end"/>
      </w:r>
      <w:r w:rsidRPr="008B52BC">
        <w:rPr>
          <w:rFonts w:ascii="Times New Roman" w:eastAsia="Times New Roman" w:hAnsi="Times New Roman" w:cs="Times New Roman"/>
          <w:sz w:val="24"/>
          <w:szCs w:val="24"/>
        </w:rPr>
        <w:t>, in accordance with the Order Suspending Rules, issued in Project No. 50664.</w:t>
      </w:r>
    </w:p>
    <w:p w14:paraId="45910FB2" w14:textId="77777777" w:rsidR="008B52BC" w:rsidRPr="008B52BC" w:rsidRDefault="008B52BC" w:rsidP="008B52BC">
      <w:pPr>
        <w:keepNext/>
        <w:spacing w:after="0" w:line="360" w:lineRule="auto"/>
        <w:ind w:firstLine="720"/>
        <w:jc w:val="both"/>
        <w:rPr>
          <w:rFonts w:ascii="Times New Roman" w:eastAsia="Times New Roman" w:hAnsi="Times New Roman" w:cs="Times New Roman"/>
          <w:sz w:val="24"/>
          <w:szCs w:val="24"/>
        </w:rPr>
      </w:pPr>
    </w:p>
    <w:p w14:paraId="6913E9B1" w14:textId="4AB0CC0D" w:rsidR="008B52BC" w:rsidRPr="008B52BC" w:rsidRDefault="008B52BC" w:rsidP="008B52BC">
      <w:pPr>
        <w:spacing w:after="0" w:line="240" w:lineRule="auto"/>
        <w:jc w:val="both"/>
        <w:rPr>
          <w:rFonts w:ascii="Times New Roman" w:eastAsia="Times New Roman" w:hAnsi="Times New Roman" w:cs="Times New Roman"/>
          <w:sz w:val="24"/>
          <w:szCs w:val="20"/>
        </w:rPr>
      </w:pPr>
      <w:r w:rsidRPr="008B52BC">
        <w:rPr>
          <w:rFonts w:ascii="Times New Roman" w:eastAsia="Times New Roman" w:hAnsi="Times New Roman" w:cs="Times New Roman"/>
          <w:sz w:val="24"/>
          <w:szCs w:val="20"/>
        </w:rPr>
        <w:tab/>
      </w:r>
      <w:r w:rsidRPr="008B52BC">
        <w:rPr>
          <w:rFonts w:ascii="Times New Roman" w:eastAsia="Times New Roman" w:hAnsi="Times New Roman" w:cs="Times New Roman"/>
          <w:sz w:val="24"/>
          <w:szCs w:val="20"/>
        </w:rPr>
        <w:tab/>
      </w:r>
      <w:r w:rsidRPr="008B52BC">
        <w:rPr>
          <w:rFonts w:ascii="Times New Roman" w:eastAsia="Times New Roman" w:hAnsi="Times New Roman" w:cs="Times New Roman"/>
          <w:sz w:val="24"/>
          <w:szCs w:val="20"/>
        </w:rPr>
        <w:tab/>
      </w:r>
      <w:r w:rsidRPr="008B52BC">
        <w:rPr>
          <w:rFonts w:ascii="Times New Roman" w:eastAsia="Times New Roman" w:hAnsi="Times New Roman" w:cs="Times New Roman"/>
          <w:sz w:val="24"/>
          <w:szCs w:val="20"/>
        </w:rPr>
        <w:tab/>
      </w:r>
      <w:r w:rsidRPr="008B52BC">
        <w:rPr>
          <w:rFonts w:ascii="Times New Roman" w:eastAsia="Times New Roman" w:hAnsi="Times New Roman" w:cs="Times New Roman"/>
          <w:sz w:val="24"/>
          <w:szCs w:val="20"/>
        </w:rPr>
        <w:tab/>
      </w:r>
      <w:r w:rsidRPr="008B52BC">
        <w:rPr>
          <w:rFonts w:ascii="Times New Roman" w:eastAsia="Times New Roman" w:hAnsi="Times New Roman" w:cs="Times New Roman"/>
          <w:sz w:val="24"/>
          <w:szCs w:val="20"/>
        </w:rPr>
        <w:tab/>
      </w:r>
      <w:r w:rsidRPr="008B52BC">
        <w:rPr>
          <w:rFonts w:ascii="Times New Roman" w:eastAsia="Times New Roman" w:hAnsi="Times New Roman" w:cs="Times New Roman"/>
          <w:sz w:val="24"/>
          <w:szCs w:val="20"/>
        </w:rPr>
        <w:tab/>
      </w:r>
      <w:r w:rsidR="007D069E">
        <w:rPr>
          <w:rFonts w:ascii="Times New Roman" w:eastAsia="Times New Roman" w:hAnsi="Times New Roman" w:cs="Times New Roman"/>
          <w:sz w:val="24"/>
          <w:szCs w:val="20"/>
          <w:u w:val="single"/>
        </w:rPr>
        <w:t>/</w:t>
      </w:r>
      <w:r w:rsidR="007D069E">
        <w:rPr>
          <w:rFonts w:ascii="Times New Roman" w:eastAsia="Times New Roman" w:hAnsi="Times New Roman" w:cs="Times New Roman"/>
          <w:i/>
          <w:iCs/>
          <w:sz w:val="24"/>
          <w:szCs w:val="20"/>
          <w:u w:val="single"/>
        </w:rPr>
        <w:t>s</w:t>
      </w:r>
      <w:r w:rsidR="007D069E">
        <w:rPr>
          <w:rFonts w:ascii="Times New Roman" w:eastAsia="Times New Roman" w:hAnsi="Times New Roman" w:cs="Times New Roman"/>
          <w:sz w:val="24"/>
          <w:szCs w:val="20"/>
          <w:u w:val="single"/>
        </w:rPr>
        <w:t>/Mildred Anaele</w:t>
      </w:r>
    </w:p>
    <w:p w14:paraId="3BF916D3" w14:textId="77777777" w:rsidR="008B52BC" w:rsidRPr="008B52BC" w:rsidRDefault="008B52BC" w:rsidP="008B52BC">
      <w:pPr>
        <w:ind w:left="4320" w:firstLine="720"/>
      </w:pPr>
      <w:r w:rsidRPr="008B52BC">
        <w:rPr>
          <w:rFonts w:ascii="Times New Roman" w:eastAsia="Times New Roman" w:hAnsi="Times New Roman" w:cs="Times New Roman"/>
          <w:sz w:val="24"/>
          <w:szCs w:val="20"/>
        </w:rPr>
        <w:t>Mildred Anaele</w:t>
      </w:r>
    </w:p>
    <w:p w14:paraId="024C5A6E" w14:textId="0B49BCB3" w:rsidR="0033486D" w:rsidRDefault="0033486D" w:rsidP="00BD4DE9">
      <w:pPr>
        <w:keepNext/>
        <w:spacing w:after="120" w:line="240" w:lineRule="auto"/>
        <w:ind w:left="720"/>
        <w:outlineLvl w:val="0"/>
      </w:pPr>
    </w:p>
    <w:sectPr w:rsidR="0033486D" w:rsidSect="00BE3AF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DAC4" w14:textId="77777777" w:rsidR="00D85125" w:rsidRDefault="00D85125" w:rsidP="00626552">
      <w:pPr>
        <w:spacing w:after="0" w:line="240" w:lineRule="auto"/>
      </w:pPr>
      <w:r>
        <w:separator/>
      </w:r>
    </w:p>
  </w:endnote>
  <w:endnote w:type="continuationSeparator" w:id="0">
    <w:p w14:paraId="407AA97E" w14:textId="77777777" w:rsidR="00D85125" w:rsidRDefault="00D85125" w:rsidP="00626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D745" w14:textId="77777777" w:rsidR="00D85125" w:rsidRDefault="00D85125" w:rsidP="00626552">
      <w:pPr>
        <w:spacing w:after="0" w:line="240" w:lineRule="auto"/>
      </w:pPr>
      <w:r>
        <w:separator/>
      </w:r>
    </w:p>
  </w:footnote>
  <w:footnote w:type="continuationSeparator" w:id="0">
    <w:p w14:paraId="0F057CD8" w14:textId="77777777" w:rsidR="00D85125" w:rsidRDefault="00D85125" w:rsidP="00626552">
      <w:pPr>
        <w:spacing w:after="0" w:line="240" w:lineRule="auto"/>
      </w:pPr>
      <w:r>
        <w:continuationSeparator/>
      </w:r>
    </w:p>
  </w:footnote>
  <w:footnote w:id="1">
    <w:p w14:paraId="2D7D1F00" w14:textId="3646C0EA" w:rsidR="004D2D3F" w:rsidRDefault="004D2D3F" w:rsidP="00EA3A77">
      <w:pPr>
        <w:pStyle w:val="FootnoteText"/>
        <w:spacing w:after="120"/>
        <w:ind w:firstLine="720"/>
      </w:pPr>
      <w:r>
        <w:rPr>
          <w:rStyle w:val="FootnoteReference"/>
        </w:rPr>
        <w:footnoteRef/>
      </w:r>
      <w:r>
        <w:t xml:space="preserve"> </w:t>
      </w:r>
      <w:r w:rsidR="009315D6">
        <w:t xml:space="preserve"> </w:t>
      </w:r>
      <w:r w:rsidRPr="004D2D3F">
        <w:t>Application</w:t>
      </w:r>
      <w:r w:rsidR="002821E1">
        <w:t>, SPS Exhibit 1</w:t>
      </w:r>
      <w:r>
        <w:t xml:space="preserve"> at 4</w:t>
      </w:r>
      <w:r w:rsidRPr="004D2D3F">
        <w:t xml:space="preserve"> (Aug. 27, 2021).</w:t>
      </w:r>
    </w:p>
  </w:footnote>
  <w:footnote w:id="2">
    <w:p w14:paraId="3B277B37" w14:textId="7EC6A555" w:rsidR="00D22B99" w:rsidRDefault="00D22B99" w:rsidP="0095440D">
      <w:pPr>
        <w:pStyle w:val="FootnoteText"/>
        <w:spacing w:after="120"/>
        <w:ind w:firstLine="720"/>
      </w:pPr>
      <w:r>
        <w:rPr>
          <w:rStyle w:val="FootnoteReference"/>
        </w:rPr>
        <w:footnoteRef/>
      </w:r>
      <w:r>
        <w:t xml:space="preserve"> </w:t>
      </w:r>
      <w:r w:rsidR="00927D93">
        <w:t xml:space="preserve"> </w:t>
      </w:r>
      <w:r w:rsidR="002821E1">
        <w:t>SPS Exhibit 1</w:t>
      </w:r>
      <w:r>
        <w:t>.</w:t>
      </w:r>
    </w:p>
  </w:footnote>
  <w:footnote w:id="3">
    <w:p w14:paraId="2FA40175" w14:textId="25C1A278" w:rsidR="0095440D" w:rsidRDefault="0095440D" w:rsidP="0095440D">
      <w:pPr>
        <w:pStyle w:val="FootnoteText"/>
        <w:spacing w:after="120"/>
        <w:ind w:firstLine="720"/>
      </w:pPr>
      <w:r>
        <w:rPr>
          <w:rStyle w:val="FootnoteReference"/>
        </w:rPr>
        <w:footnoteRef/>
      </w:r>
      <w:r>
        <w:t xml:space="preserve"> </w:t>
      </w:r>
      <w:r w:rsidR="00927D93">
        <w:t xml:space="preserve"> </w:t>
      </w:r>
      <w:r>
        <w:t xml:space="preserve">Order No. 4 (Oct. 6, 2021). </w:t>
      </w:r>
    </w:p>
  </w:footnote>
  <w:footnote w:id="4">
    <w:p w14:paraId="5C2091E6" w14:textId="1082A159" w:rsidR="0095440D" w:rsidRDefault="0095440D" w:rsidP="0095440D">
      <w:pPr>
        <w:pStyle w:val="FootnoteText"/>
        <w:spacing w:after="120"/>
        <w:ind w:firstLine="720"/>
      </w:pPr>
      <w:r>
        <w:rPr>
          <w:rStyle w:val="FootnoteReference"/>
        </w:rPr>
        <w:footnoteRef/>
      </w:r>
      <w:r>
        <w:t xml:space="preserve"> </w:t>
      </w:r>
      <w:r w:rsidR="00927D93">
        <w:t xml:space="preserve"> </w:t>
      </w:r>
      <w:r>
        <w:t>Order No. 7 (Nov. 29, 2021).</w:t>
      </w:r>
    </w:p>
  </w:footnote>
  <w:footnote w:id="5">
    <w:p w14:paraId="109BD31C" w14:textId="2D8F3A5E" w:rsidR="006052D6" w:rsidRDefault="006052D6" w:rsidP="004A0F2C">
      <w:pPr>
        <w:pStyle w:val="FootnoteText"/>
        <w:spacing w:after="120"/>
        <w:ind w:firstLine="720"/>
      </w:pPr>
      <w:r>
        <w:rPr>
          <w:rStyle w:val="FootnoteReference"/>
        </w:rPr>
        <w:footnoteRef/>
      </w:r>
      <w:r>
        <w:t xml:space="preserve"> </w:t>
      </w:r>
      <w:r w:rsidR="00CD47FB">
        <w:t xml:space="preserve"> </w:t>
      </w:r>
      <w:r w:rsidR="002821E1">
        <w:t>SPS Exhibit 1 at 4.</w:t>
      </w:r>
    </w:p>
  </w:footnote>
  <w:footnote w:id="6">
    <w:p w14:paraId="55A7692B" w14:textId="6ABEEF67" w:rsidR="002821E1" w:rsidRDefault="002821E1" w:rsidP="004A0F2C">
      <w:pPr>
        <w:pStyle w:val="FootnoteText"/>
        <w:spacing w:after="120"/>
        <w:ind w:firstLine="720"/>
      </w:pPr>
      <w:r>
        <w:rPr>
          <w:rStyle w:val="FootnoteReference"/>
        </w:rPr>
        <w:footnoteRef/>
      </w:r>
      <w:r>
        <w:t xml:space="preserve"> </w:t>
      </w:r>
      <w:r w:rsidR="00CD47FB">
        <w:t xml:space="preserve"> </w:t>
      </w:r>
      <w:r>
        <w:t xml:space="preserve">Direct Testimony of William A. Grant, SPS Exhibit 5 at 9. </w:t>
      </w:r>
    </w:p>
  </w:footnote>
  <w:footnote w:id="7">
    <w:p w14:paraId="513AE40B" w14:textId="188A00F2" w:rsidR="006F173F" w:rsidRDefault="006F173F" w:rsidP="004A0F2C">
      <w:pPr>
        <w:pStyle w:val="FootnoteText"/>
        <w:spacing w:after="120"/>
        <w:ind w:firstLine="720"/>
      </w:pPr>
      <w:r>
        <w:rPr>
          <w:rStyle w:val="FootnoteReference"/>
        </w:rPr>
        <w:footnoteRef/>
      </w:r>
      <w:r>
        <w:t xml:space="preserve"> </w:t>
      </w:r>
      <w:r w:rsidR="00CD47FB">
        <w:t xml:space="preserve"> </w:t>
      </w:r>
      <w:r w:rsidR="00F73F1C">
        <w:rPr>
          <w:i/>
          <w:iCs/>
        </w:rPr>
        <w:t xml:space="preserve">Id. </w:t>
      </w:r>
      <w:r>
        <w:t xml:space="preserve">at 17. </w:t>
      </w:r>
    </w:p>
  </w:footnote>
  <w:footnote w:id="8">
    <w:p w14:paraId="3334145F" w14:textId="0152F419" w:rsidR="006F173F" w:rsidRDefault="006F173F" w:rsidP="004A0F2C">
      <w:pPr>
        <w:pStyle w:val="FootnoteText"/>
        <w:spacing w:after="120"/>
        <w:ind w:firstLine="720"/>
      </w:pPr>
      <w:r>
        <w:rPr>
          <w:rStyle w:val="FootnoteReference"/>
        </w:rPr>
        <w:footnoteRef/>
      </w:r>
      <w:r>
        <w:t xml:space="preserve"> </w:t>
      </w:r>
      <w:r w:rsidR="00CD47FB">
        <w:t xml:space="preserve"> </w:t>
      </w:r>
      <w:r w:rsidR="00F73F1C">
        <w:rPr>
          <w:i/>
          <w:iCs/>
        </w:rPr>
        <w:t>Id.</w:t>
      </w:r>
      <w:r>
        <w:t xml:space="preserve"> at </w:t>
      </w:r>
      <w:r w:rsidR="006D7058">
        <w:t>10-</w:t>
      </w:r>
      <w:r>
        <w:t xml:space="preserve">11. </w:t>
      </w:r>
    </w:p>
  </w:footnote>
  <w:footnote w:id="9">
    <w:p w14:paraId="4DEEE227" w14:textId="730F3B41" w:rsidR="00D90C1F" w:rsidRDefault="00D90C1F" w:rsidP="004A0F2C">
      <w:pPr>
        <w:pStyle w:val="FootnoteText"/>
        <w:spacing w:after="120"/>
        <w:ind w:firstLine="720"/>
      </w:pPr>
      <w:r>
        <w:rPr>
          <w:rStyle w:val="FootnoteReference"/>
        </w:rPr>
        <w:footnoteRef/>
      </w:r>
      <w:r>
        <w:t xml:space="preserve"> </w:t>
      </w:r>
      <w:r w:rsidR="00CD47FB">
        <w:t xml:space="preserve"> </w:t>
      </w:r>
      <w:r>
        <w:t xml:space="preserve">SPS Exhibit 1 at 5. </w:t>
      </w:r>
    </w:p>
  </w:footnote>
  <w:footnote w:id="10">
    <w:p w14:paraId="3DE89FD2" w14:textId="666B0EB0" w:rsidR="00D90C1F" w:rsidRDefault="00D90C1F" w:rsidP="004A0F2C">
      <w:pPr>
        <w:pStyle w:val="FootnoteText"/>
        <w:spacing w:after="120"/>
        <w:ind w:firstLine="720"/>
      </w:pPr>
      <w:r>
        <w:rPr>
          <w:rStyle w:val="FootnoteReference"/>
        </w:rPr>
        <w:footnoteRef/>
      </w:r>
      <w:r>
        <w:t xml:space="preserve"> </w:t>
      </w:r>
      <w:r w:rsidR="00CD47FB">
        <w:t xml:space="preserve"> </w:t>
      </w:r>
      <w:r w:rsidR="00F73F1C">
        <w:rPr>
          <w:i/>
          <w:iCs/>
        </w:rPr>
        <w:t>Id</w:t>
      </w:r>
      <w:r>
        <w:t xml:space="preserve">. </w:t>
      </w:r>
    </w:p>
  </w:footnote>
  <w:footnote w:id="11">
    <w:p w14:paraId="64DB5D22" w14:textId="77777777" w:rsidR="00D90C1F" w:rsidRPr="00A532B8" w:rsidRDefault="00D90C1F" w:rsidP="00D90C1F">
      <w:pPr>
        <w:pStyle w:val="FootnoteText"/>
        <w:spacing w:after="120"/>
        <w:ind w:firstLine="720"/>
      </w:pPr>
      <w:r>
        <w:rPr>
          <w:rStyle w:val="FootnoteReference"/>
        </w:rPr>
        <w:footnoteRef/>
      </w:r>
      <w:r>
        <w:t xml:space="preserve">  Public Utility Regulatory Act, Tex. </w:t>
      </w:r>
      <w:r w:rsidRPr="00DE4A9C">
        <w:rPr>
          <w:lang w:val="es-MX"/>
        </w:rPr>
        <w:t xml:space="preserve">Util. Code Ann. </w:t>
      </w:r>
      <w:r w:rsidRPr="00A532B8">
        <w:t>§ 37.056(c) (PURA).</w:t>
      </w:r>
    </w:p>
  </w:footnote>
  <w:footnote w:id="12">
    <w:p w14:paraId="6D407CB8" w14:textId="09C34DD7" w:rsidR="00A665A1" w:rsidRDefault="00A665A1" w:rsidP="000C41A1">
      <w:pPr>
        <w:pStyle w:val="FootnoteText"/>
        <w:spacing w:after="120"/>
        <w:ind w:firstLine="720"/>
      </w:pPr>
      <w:r>
        <w:rPr>
          <w:rStyle w:val="FootnoteReference"/>
        </w:rPr>
        <w:footnoteRef/>
      </w:r>
      <w:r>
        <w:t xml:space="preserve"> </w:t>
      </w:r>
      <w:r w:rsidR="00CD47FB">
        <w:t xml:space="preserve"> </w:t>
      </w:r>
      <w:r>
        <w:t xml:space="preserve">Direct Testimony of Ben R. Elsey, SPS Exhibit 7 at 29. </w:t>
      </w:r>
    </w:p>
  </w:footnote>
  <w:footnote w:id="13">
    <w:p w14:paraId="2B94F9C1" w14:textId="248DD8AB" w:rsidR="00BA3E14" w:rsidRDefault="00BA3E14" w:rsidP="00BA3E14">
      <w:pPr>
        <w:pStyle w:val="FootnoteText"/>
        <w:spacing w:after="120"/>
        <w:ind w:firstLine="720"/>
      </w:pPr>
      <w:r>
        <w:rPr>
          <w:rStyle w:val="FootnoteReference"/>
        </w:rPr>
        <w:footnoteRef/>
      </w:r>
      <w:r>
        <w:t xml:space="preserve"> </w:t>
      </w:r>
      <w:r w:rsidR="00CD47FB">
        <w:t xml:space="preserve"> </w:t>
      </w:r>
      <w:r>
        <w:t xml:space="preserve">SPS Exhibit 7 at 29. </w:t>
      </w:r>
    </w:p>
  </w:footnote>
  <w:footnote w:id="14">
    <w:p w14:paraId="60EEB47E" w14:textId="341F6B34" w:rsidR="00BA3E14" w:rsidRDefault="00BA3E14" w:rsidP="002F26B1">
      <w:pPr>
        <w:pStyle w:val="FootnoteText"/>
        <w:spacing w:after="120"/>
        <w:ind w:firstLine="720"/>
      </w:pPr>
      <w:r>
        <w:rPr>
          <w:rStyle w:val="FootnoteReference"/>
        </w:rPr>
        <w:footnoteRef/>
      </w:r>
      <w:r>
        <w:t xml:space="preserve"> </w:t>
      </w:r>
      <w:r w:rsidR="00CD47FB">
        <w:t xml:space="preserve"> </w:t>
      </w:r>
      <w:r w:rsidR="00F73F1C">
        <w:rPr>
          <w:i/>
          <w:iCs/>
        </w:rPr>
        <w:t>Id.</w:t>
      </w:r>
      <w:r>
        <w:t xml:space="preserve"> at 35. </w:t>
      </w:r>
    </w:p>
  </w:footnote>
  <w:footnote w:id="15">
    <w:p w14:paraId="404C6BF3" w14:textId="613C554D" w:rsidR="002F26B1" w:rsidRDefault="002F26B1" w:rsidP="00720413">
      <w:pPr>
        <w:pStyle w:val="FootnoteText"/>
        <w:spacing w:after="120"/>
        <w:ind w:firstLine="720"/>
      </w:pPr>
      <w:r>
        <w:rPr>
          <w:rStyle w:val="FootnoteReference"/>
        </w:rPr>
        <w:footnoteRef/>
      </w:r>
      <w:r>
        <w:t xml:space="preserve"> </w:t>
      </w:r>
      <w:r w:rsidR="009315D6">
        <w:t xml:space="preserve"> </w:t>
      </w:r>
      <w:r>
        <w:t xml:space="preserve">SPS Exhibit 5 at </w:t>
      </w:r>
      <w:r w:rsidR="00DD17FD">
        <w:t xml:space="preserve">14 and </w:t>
      </w:r>
      <w:r>
        <w:t>17.</w:t>
      </w:r>
    </w:p>
  </w:footnote>
  <w:footnote w:id="16">
    <w:p w14:paraId="4307C488" w14:textId="62A1572B" w:rsidR="00CE289E" w:rsidRDefault="00CE289E" w:rsidP="00720413">
      <w:pPr>
        <w:pStyle w:val="FootnoteText"/>
        <w:spacing w:after="120"/>
        <w:ind w:firstLine="720"/>
      </w:pPr>
      <w:r>
        <w:rPr>
          <w:rStyle w:val="FootnoteReference"/>
        </w:rPr>
        <w:footnoteRef/>
      </w:r>
      <w:r>
        <w:t xml:space="preserve"> </w:t>
      </w:r>
      <w:r w:rsidR="009315D6">
        <w:t xml:space="preserve"> </w:t>
      </w:r>
      <w:r>
        <w:t xml:space="preserve">AXM Exhibit 1 at 12. </w:t>
      </w:r>
    </w:p>
  </w:footnote>
  <w:footnote w:id="17">
    <w:p w14:paraId="13167919" w14:textId="732C4B50" w:rsidR="009D588E" w:rsidRDefault="009D588E" w:rsidP="00720413">
      <w:pPr>
        <w:pStyle w:val="FootnoteText"/>
        <w:spacing w:after="120"/>
        <w:ind w:firstLine="720"/>
      </w:pPr>
      <w:r>
        <w:rPr>
          <w:rStyle w:val="FootnoteReference"/>
        </w:rPr>
        <w:footnoteRef/>
      </w:r>
      <w:r w:rsidR="009315D6">
        <w:t xml:space="preserve">  </w:t>
      </w:r>
      <w:r w:rsidR="00731080">
        <w:rPr>
          <w:i/>
          <w:iCs/>
        </w:rPr>
        <w:t xml:space="preserve">Id. </w:t>
      </w:r>
      <w:r>
        <w:t xml:space="preserve">at 19. </w:t>
      </w:r>
    </w:p>
  </w:footnote>
  <w:footnote w:id="18">
    <w:p w14:paraId="23FF5584" w14:textId="608ED557" w:rsidR="009D588E" w:rsidRDefault="009D588E" w:rsidP="00720413">
      <w:pPr>
        <w:pStyle w:val="FootnoteText"/>
        <w:spacing w:after="120"/>
        <w:ind w:firstLine="720"/>
      </w:pPr>
      <w:r>
        <w:rPr>
          <w:rStyle w:val="FootnoteReference"/>
        </w:rPr>
        <w:footnoteRef/>
      </w:r>
      <w:r>
        <w:t xml:space="preserve"> </w:t>
      </w:r>
      <w:r w:rsidR="009315D6">
        <w:t xml:space="preserve"> </w:t>
      </w:r>
      <w:r>
        <w:t xml:space="preserve">AXM Exhibit 1 at 19. </w:t>
      </w:r>
    </w:p>
  </w:footnote>
  <w:footnote w:id="19">
    <w:p w14:paraId="342E0A75" w14:textId="055235FA" w:rsidR="009D588E" w:rsidRDefault="009D588E" w:rsidP="00720413">
      <w:pPr>
        <w:pStyle w:val="FootnoteText"/>
        <w:spacing w:after="120"/>
        <w:ind w:firstLine="720"/>
      </w:pPr>
      <w:r>
        <w:rPr>
          <w:rStyle w:val="FootnoteReference"/>
        </w:rPr>
        <w:footnoteRef/>
      </w:r>
      <w:r>
        <w:t xml:space="preserve"> </w:t>
      </w:r>
      <w:r w:rsidR="009315D6">
        <w:t xml:space="preserve"> </w:t>
      </w:r>
      <w:r w:rsidR="00731080">
        <w:rPr>
          <w:i/>
          <w:iCs/>
        </w:rPr>
        <w:t>Id.</w:t>
      </w:r>
      <w:r>
        <w:t xml:space="preserve"> at 9. </w:t>
      </w:r>
    </w:p>
  </w:footnote>
  <w:footnote w:id="20">
    <w:p w14:paraId="72052886" w14:textId="3DED5950" w:rsidR="00731080" w:rsidRDefault="00731080" w:rsidP="00153B7E">
      <w:pPr>
        <w:pStyle w:val="FootnoteText"/>
        <w:spacing w:after="120"/>
        <w:ind w:firstLine="720"/>
      </w:pPr>
      <w:r>
        <w:rPr>
          <w:rStyle w:val="FootnoteReference"/>
        </w:rPr>
        <w:footnoteRef/>
      </w:r>
      <w:r>
        <w:t xml:space="preserve"> </w:t>
      </w:r>
      <w:r w:rsidR="009315D6">
        <w:t xml:space="preserve"> </w:t>
      </w:r>
      <w:r>
        <w:t>Rebuttal Testimony of D. Dean Koujack</w:t>
      </w:r>
      <w:r w:rsidR="007C24D1">
        <w:t>,</w:t>
      </w:r>
      <w:r>
        <w:t xml:space="preserve"> SPS Exhibit 11 at 15-16</w:t>
      </w:r>
    </w:p>
  </w:footnote>
  <w:footnote w:id="21">
    <w:p w14:paraId="5B7F8F80" w14:textId="55883352" w:rsidR="00CF2246" w:rsidRPr="0071066D" w:rsidRDefault="00CF2246" w:rsidP="00CE289E">
      <w:pPr>
        <w:pStyle w:val="FootnoteText"/>
        <w:spacing w:after="120"/>
        <w:ind w:firstLine="720"/>
      </w:pPr>
      <w:r>
        <w:rPr>
          <w:rStyle w:val="FootnoteReference"/>
        </w:rPr>
        <w:footnoteRef/>
      </w:r>
      <w:r w:rsidR="009315D6">
        <w:t xml:space="preserve">  </w:t>
      </w:r>
      <w:r>
        <w:rPr>
          <w:i/>
          <w:iCs/>
        </w:rPr>
        <w:t xml:space="preserve">Application of Southwestern Electric Power Company for Certificate of Convenience and Necessity </w:t>
      </w:r>
      <w:r w:rsidR="0071066D">
        <w:rPr>
          <w:i/>
          <w:iCs/>
        </w:rPr>
        <w:t>Authorization for a Coal Fired Power Plant in Arkansas</w:t>
      </w:r>
      <w:r w:rsidR="0071066D">
        <w:t xml:space="preserve">, Docket No. 33891, Order at 7 (Aug. 12, 2008). </w:t>
      </w:r>
    </w:p>
  </w:footnote>
  <w:footnote w:id="22">
    <w:p w14:paraId="57928284" w14:textId="6525A1C9" w:rsidR="0071066D" w:rsidRDefault="0071066D" w:rsidP="008953AC">
      <w:pPr>
        <w:pStyle w:val="FootnoteText"/>
        <w:spacing w:after="120"/>
        <w:ind w:firstLine="720"/>
      </w:pPr>
      <w:r>
        <w:rPr>
          <w:rStyle w:val="FootnoteReference"/>
        </w:rPr>
        <w:footnoteRef/>
      </w:r>
      <w:r w:rsidR="009315D6">
        <w:t xml:space="preserve">  </w:t>
      </w:r>
      <w:r>
        <w:t xml:space="preserve">Docket No. 33891 at 7. </w:t>
      </w:r>
    </w:p>
  </w:footnote>
  <w:footnote w:id="23">
    <w:p w14:paraId="6E7A731A" w14:textId="6FBC836B" w:rsidR="00486710" w:rsidRDefault="00486710" w:rsidP="00486710">
      <w:pPr>
        <w:pStyle w:val="FootnoteText"/>
        <w:spacing w:after="120"/>
        <w:ind w:firstLine="720"/>
      </w:pPr>
      <w:r>
        <w:rPr>
          <w:rStyle w:val="FootnoteReference"/>
        </w:rPr>
        <w:footnoteRef/>
      </w:r>
      <w:r w:rsidR="009315D6">
        <w:t xml:space="preserve">  </w:t>
      </w:r>
      <w:r>
        <w:t xml:space="preserve">AXM Exhibit 1 at 17. </w:t>
      </w:r>
    </w:p>
  </w:footnote>
  <w:footnote w:id="24">
    <w:p w14:paraId="351C7934" w14:textId="2E0A9330" w:rsidR="00F74E8B" w:rsidRDefault="00F74E8B" w:rsidP="00F74E8B">
      <w:pPr>
        <w:pStyle w:val="FootnoteText"/>
        <w:spacing w:after="120"/>
        <w:ind w:firstLine="720"/>
      </w:pPr>
      <w:r>
        <w:rPr>
          <w:rStyle w:val="FootnoteReference"/>
        </w:rPr>
        <w:footnoteRef/>
      </w:r>
      <w:r w:rsidR="009315D6">
        <w:t xml:space="preserve">  </w:t>
      </w:r>
      <w:r>
        <w:t xml:space="preserve">Direct Testimony of Jeffrey L. West, SPS Exhibit 15 at 7-8. </w:t>
      </w:r>
    </w:p>
  </w:footnote>
  <w:footnote w:id="25">
    <w:p w14:paraId="20629815" w14:textId="0A3AFD79" w:rsidR="00F74E8B" w:rsidRDefault="00F74E8B" w:rsidP="00F74E8B">
      <w:pPr>
        <w:pStyle w:val="FootnoteText"/>
        <w:spacing w:after="120"/>
        <w:ind w:firstLine="720"/>
      </w:pPr>
      <w:r>
        <w:rPr>
          <w:rStyle w:val="FootnoteReference"/>
        </w:rPr>
        <w:footnoteRef/>
      </w:r>
      <w:r w:rsidR="009315D6">
        <w:t xml:space="preserve">  </w:t>
      </w:r>
      <w:r w:rsidR="00731080">
        <w:rPr>
          <w:i/>
          <w:iCs/>
        </w:rPr>
        <w:t xml:space="preserve">Id. </w:t>
      </w:r>
      <w:r>
        <w:t xml:space="preserve"> at 8. </w:t>
      </w:r>
    </w:p>
  </w:footnote>
  <w:footnote w:id="26">
    <w:p w14:paraId="01712F74" w14:textId="60843FF2" w:rsidR="00F74E8B" w:rsidRDefault="00F74E8B" w:rsidP="00F74E8B">
      <w:pPr>
        <w:pStyle w:val="FootnoteText"/>
        <w:spacing w:after="120"/>
        <w:ind w:firstLine="720"/>
      </w:pPr>
      <w:r>
        <w:rPr>
          <w:rStyle w:val="FootnoteReference"/>
        </w:rPr>
        <w:footnoteRef/>
      </w:r>
      <w:r w:rsidR="009315D6">
        <w:t xml:space="preserve">  </w:t>
      </w:r>
      <w:r w:rsidR="00731080">
        <w:rPr>
          <w:i/>
          <w:iCs/>
        </w:rPr>
        <w:t>Id.</w:t>
      </w:r>
      <w:r>
        <w:t xml:space="preserve"> at 8. </w:t>
      </w:r>
    </w:p>
  </w:footnote>
  <w:footnote w:id="27">
    <w:p w14:paraId="6E36361A" w14:textId="31404271" w:rsidR="00F74E8B" w:rsidRDefault="00F74E8B" w:rsidP="00F74E8B">
      <w:pPr>
        <w:pStyle w:val="FootnoteText"/>
        <w:spacing w:after="120"/>
        <w:ind w:firstLine="720"/>
      </w:pPr>
      <w:r>
        <w:rPr>
          <w:rStyle w:val="FootnoteReference"/>
        </w:rPr>
        <w:footnoteRef/>
      </w:r>
      <w:r w:rsidR="009315D6">
        <w:t xml:space="preserve">  </w:t>
      </w:r>
      <w:r w:rsidR="00731080">
        <w:rPr>
          <w:i/>
          <w:iCs/>
        </w:rPr>
        <w:t>Id.</w:t>
      </w:r>
      <w:r>
        <w:t xml:space="preserve"> at 20. </w:t>
      </w:r>
    </w:p>
  </w:footnote>
  <w:footnote w:id="28">
    <w:p w14:paraId="30C66FCB" w14:textId="0941BD59" w:rsidR="00F74E8B" w:rsidRDefault="00F74E8B" w:rsidP="00F74E8B">
      <w:pPr>
        <w:pStyle w:val="FootnoteText"/>
        <w:spacing w:after="120"/>
        <w:ind w:firstLine="720"/>
      </w:pPr>
      <w:r>
        <w:rPr>
          <w:rStyle w:val="FootnoteReference"/>
        </w:rPr>
        <w:footnoteRef/>
      </w:r>
      <w:r w:rsidR="009315D6">
        <w:t xml:space="preserve">  </w:t>
      </w:r>
      <w:r>
        <w:t>SPS Exhibit 7 at 20.</w:t>
      </w:r>
    </w:p>
  </w:footnote>
  <w:footnote w:id="29">
    <w:p w14:paraId="47BB96C9" w14:textId="3A09C012" w:rsidR="00F74E8B" w:rsidRDefault="00F74E8B" w:rsidP="00CE289E">
      <w:pPr>
        <w:pStyle w:val="FootnoteText"/>
        <w:spacing w:after="120"/>
        <w:ind w:firstLine="720"/>
      </w:pPr>
      <w:r>
        <w:rPr>
          <w:rStyle w:val="FootnoteReference"/>
        </w:rPr>
        <w:footnoteRef/>
      </w:r>
      <w:r w:rsidR="009315D6">
        <w:t xml:space="preserve">  </w:t>
      </w:r>
      <w:r>
        <w:t xml:space="preserve">SPS Exhibit 15 at 10. </w:t>
      </w:r>
    </w:p>
  </w:footnote>
  <w:footnote w:id="30">
    <w:p w14:paraId="30E464BF" w14:textId="231A49FC" w:rsidR="00C20D7C" w:rsidRDefault="00C20D7C" w:rsidP="00720413">
      <w:pPr>
        <w:pStyle w:val="FootnoteText"/>
        <w:spacing w:after="120"/>
        <w:ind w:firstLine="720"/>
      </w:pPr>
      <w:r>
        <w:rPr>
          <w:rStyle w:val="FootnoteReference"/>
        </w:rPr>
        <w:footnoteRef/>
      </w:r>
      <w:r w:rsidR="009315D6">
        <w:t xml:space="preserve">  </w:t>
      </w:r>
      <w:r w:rsidRPr="00C20D7C">
        <w:t>Integrated Resource Plans for Electric Utilities, New Mexico Public Regulation Commission, 17.7.3.</w:t>
      </w:r>
      <w:r w:rsidR="00CE289E">
        <w:t xml:space="preserve">9 </w:t>
      </w:r>
    </w:p>
  </w:footnote>
  <w:footnote w:id="31">
    <w:p w14:paraId="26838718" w14:textId="4294FB0C" w:rsidR="00C20D7C" w:rsidRDefault="00C20D7C" w:rsidP="00720413">
      <w:pPr>
        <w:pStyle w:val="FootnoteText"/>
        <w:spacing w:after="120"/>
        <w:ind w:firstLine="720"/>
      </w:pPr>
      <w:r>
        <w:rPr>
          <w:rStyle w:val="FootnoteReference"/>
        </w:rPr>
        <w:footnoteRef/>
      </w:r>
      <w:r w:rsidR="009315D6">
        <w:t xml:space="preserve">  </w:t>
      </w:r>
      <w:r w:rsidRPr="00C20D7C">
        <w:t>17.7.3</w:t>
      </w:r>
      <w:r>
        <w:t>.</w:t>
      </w:r>
      <w:r w:rsidRPr="00C20D7C">
        <w:t>7</w:t>
      </w:r>
      <w:r w:rsidR="00CE289E">
        <w:t xml:space="preserve"> NMAC</w:t>
      </w:r>
    </w:p>
  </w:footnote>
  <w:footnote w:id="32">
    <w:p w14:paraId="57777E43" w14:textId="686FE588" w:rsidR="007E5949" w:rsidRDefault="007E5949" w:rsidP="005F69DC">
      <w:pPr>
        <w:pStyle w:val="FootnoteText"/>
        <w:spacing w:after="120"/>
        <w:ind w:firstLine="720"/>
      </w:pPr>
      <w:r>
        <w:rPr>
          <w:rStyle w:val="FootnoteReference"/>
        </w:rPr>
        <w:footnoteRef/>
      </w:r>
      <w:r w:rsidR="009315D6">
        <w:t xml:space="preserve">  </w:t>
      </w:r>
      <w:r>
        <w:t>Direct Testimony of Karl Nalepa, OPUC Exhibit 1 at 7.</w:t>
      </w:r>
    </w:p>
  </w:footnote>
  <w:footnote w:id="33">
    <w:p w14:paraId="08B24D8C" w14:textId="27C57B02" w:rsidR="005F69DC" w:rsidRDefault="005F69DC" w:rsidP="005F69DC">
      <w:pPr>
        <w:pStyle w:val="FootnoteText"/>
        <w:spacing w:after="120"/>
        <w:ind w:firstLine="720"/>
      </w:pPr>
      <w:r>
        <w:rPr>
          <w:rStyle w:val="FootnoteReference"/>
        </w:rPr>
        <w:footnoteRef/>
      </w:r>
      <w:r w:rsidR="009315D6">
        <w:t xml:space="preserve">  </w:t>
      </w:r>
      <w:r>
        <w:t>OPUC Exhibit 1 at 7.</w:t>
      </w:r>
    </w:p>
  </w:footnote>
  <w:footnote w:id="34">
    <w:p w14:paraId="2F03E745" w14:textId="5E0CC514" w:rsidR="005F69DC" w:rsidRDefault="005F69DC" w:rsidP="005F69DC">
      <w:pPr>
        <w:pStyle w:val="FootnoteText"/>
        <w:spacing w:after="120"/>
        <w:ind w:firstLine="720"/>
      </w:pPr>
      <w:r>
        <w:rPr>
          <w:rStyle w:val="FootnoteReference"/>
        </w:rPr>
        <w:footnoteRef/>
      </w:r>
      <w:r w:rsidR="009315D6">
        <w:t xml:space="preserve">  </w:t>
      </w:r>
      <w:r w:rsidRPr="005F69DC">
        <w:rPr>
          <w:i/>
          <w:iCs/>
        </w:rPr>
        <w:t>Application of Southwestern Electric Power Company for Certificate of Convenience and Necessity Authorization and Related Relief for the Acquisition of Wind Generation Facilities</w:t>
      </w:r>
      <w:r>
        <w:t xml:space="preserve">, Docket No. 49737, Order at Finding of Fact 122A (Jul. 6, 2022). </w:t>
      </w:r>
    </w:p>
  </w:footnote>
  <w:footnote w:id="35">
    <w:p w14:paraId="735937C0" w14:textId="2AF189CD" w:rsidR="005F69DC" w:rsidRDefault="005F69DC" w:rsidP="005F69DC">
      <w:pPr>
        <w:pStyle w:val="FootnoteText"/>
        <w:spacing w:after="120"/>
        <w:ind w:firstLine="720"/>
      </w:pPr>
      <w:r>
        <w:rPr>
          <w:rStyle w:val="FootnoteReference"/>
        </w:rPr>
        <w:footnoteRef/>
      </w:r>
      <w:r w:rsidR="009315D6">
        <w:t xml:space="preserve">  </w:t>
      </w:r>
      <w:r>
        <w:t xml:space="preserve">OPUC Exhibit 1 at 7. </w:t>
      </w:r>
    </w:p>
  </w:footnote>
  <w:footnote w:id="36">
    <w:p w14:paraId="05146529" w14:textId="0F4048C7" w:rsidR="008B52BC" w:rsidRPr="00822339" w:rsidRDefault="008B52BC" w:rsidP="005F69DC">
      <w:pPr>
        <w:pStyle w:val="FootnoteText"/>
        <w:spacing w:after="120"/>
        <w:ind w:firstLine="720"/>
      </w:pPr>
      <w:r w:rsidRPr="0017555C">
        <w:rPr>
          <w:rStyle w:val="FootnoteReference"/>
        </w:rPr>
        <w:footnoteRef/>
      </w:r>
      <w:r w:rsidR="009315D6">
        <w:t xml:space="preserve">  </w:t>
      </w:r>
      <w:r>
        <w:t xml:space="preserve">Staff Exhibit 1; </w:t>
      </w:r>
      <w:r w:rsidRPr="0017555C">
        <w:t>Attachment JP-3 at 2-3</w:t>
      </w:r>
      <w:r w:rsidRPr="00822339">
        <w:t>.</w:t>
      </w:r>
    </w:p>
  </w:footnote>
  <w:footnote w:id="37">
    <w:p w14:paraId="7A79882B" w14:textId="3034C2D3" w:rsidR="008B52BC" w:rsidRDefault="008B52BC" w:rsidP="008B52BC">
      <w:pPr>
        <w:pStyle w:val="FootnoteText"/>
        <w:spacing w:after="120"/>
        <w:ind w:firstLine="720"/>
      </w:pPr>
      <w:r>
        <w:rPr>
          <w:rStyle w:val="FootnoteReference"/>
        </w:rPr>
        <w:footnoteRef/>
      </w:r>
      <w:r w:rsidR="009315D6">
        <w:t xml:space="preserve">  </w:t>
      </w:r>
      <w:r w:rsidR="006D35CB">
        <w:t>Staff Exhibit 1</w:t>
      </w:r>
      <w:r>
        <w:t xml:space="preserve"> at 28</w:t>
      </w:r>
      <w:r w:rsidR="006D35CB">
        <w:t>.</w:t>
      </w:r>
    </w:p>
  </w:footnote>
  <w:footnote w:id="38">
    <w:p w14:paraId="2369D541" w14:textId="03199194" w:rsidR="008B52BC" w:rsidRPr="001207CC" w:rsidRDefault="008B52BC" w:rsidP="008B52BC">
      <w:pPr>
        <w:pStyle w:val="FootnoteText"/>
        <w:spacing w:after="120"/>
        <w:ind w:firstLine="720"/>
      </w:pPr>
      <w:r w:rsidRPr="00622401">
        <w:rPr>
          <w:rStyle w:val="FootnoteReference"/>
        </w:rPr>
        <w:footnoteRef/>
      </w:r>
      <w:r w:rsidR="009315D6">
        <w:t xml:space="preserve">  </w:t>
      </w:r>
      <w:r w:rsidR="007D069E">
        <w:rPr>
          <w:i/>
          <w:iCs/>
        </w:rPr>
        <w:t xml:space="preserve">Id. </w:t>
      </w:r>
      <w:r w:rsidRPr="00707822">
        <w:t>at 5-6.</w:t>
      </w:r>
    </w:p>
  </w:footnote>
  <w:footnote w:id="39">
    <w:p w14:paraId="2E26ED5D" w14:textId="0E03A8FA" w:rsidR="008B52BC" w:rsidRDefault="008B52BC" w:rsidP="008B52BC">
      <w:pPr>
        <w:pStyle w:val="FootnoteText"/>
        <w:spacing w:after="120"/>
        <w:ind w:firstLine="720"/>
      </w:pPr>
      <w:r w:rsidRPr="00D37A6D">
        <w:rPr>
          <w:rStyle w:val="FootnoteReference"/>
        </w:rPr>
        <w:footnoteRef/>
      </w:r>
      <w:r w:rsidRPr="00D37A6D">
        <w:t xml:space="preserve"> </w:t>
      </w:r>
      <w:r>
        <w:t xml:space="preserve"> </w:t>
      </w:r>
      <w:r w:rsidRPr="00D37A6D">
        <w:t>Staff Ex</w:t>
      </w:r>
      <w:r>
        <w:t>hibit</w:t>
      </w:r>
      <w:r w:rsidRPr="00D37A6D">
        <w:t xml:space="preserve"> 1 at 1</w:t>
      </w:r>
      <w:r>
        <w:t>7</w:t>
      </w:r>
      <w:r w:rsidRPr="00D37A6D">
        <w:t>.</w:t>
      </w:r>
    </w:p>
  </w:footnote>
  <w:footnote w:id="40">
    <w:p w14:paraId="266CDEF4" w14:textId="06F295F6" w:rsidR="008B52BC" w:rsidRDefault="008B52BC" w:rsidP="008B52BC">
      <w:pPr>
        <w:pStyle w:val="FootnoteText"/>
        <w:spacing w:after="120"/>
        <w:ind w:firstLine="720"/>
      </w:pPr>
      <w:r>
        <w:rPr>
          <w:rStyle w:val="FootnoteReference"/>
        </w:rPr>
        <w:footnoteRef/>
      </w:r>
      <w:r>
        <w:t xml:space="preserve"> </w:t>
      </w:r>
      <w:r w:rsidR="009315D6">
        <w:t xml:space="preserve"> </w:t>
      </w:r>
      <w:r w:rsidR="007D069E">
        <w:rPr>
          <w:i/>
          <w:iCs/>
        </w:rPr>
        <w:t>Id.</w:t>
      </w:r>
      <w:r>
        <w:t xml:space="preserve"> at 32</w:t>
      </w:r>
      <w:r w:rsidR="006D35CB">
        <w:t>.</w:t>
      </w:r>
    </w:p>
  </w:footnote>
  <w:footnote w:id="41">
    <w:p w14:paraId="39B20C22" w14:textId="236FC4E1" w:rsidR="008B52BC" w:rsidRDefault="008B52BC" w:rsidP="008B52BC">
      <w:pPr>
        <w:pStyle w:val="FootnoteText"/>
        <w:spacing w:after="120"/>
        <w:ind w:firstLine="720"/>
      </w:pPr>
      <w:r>
        <w:rPr>
          <w:rStyle w:val="FootnoteReference"/>
        </w:rPr>
        <w:footnoteRef/>
      </w:r>
      <w:r w:rsidR="009315D6">
        <w:t xml:space="preserve"> </w:t>
      </w:r>
      <w:r w:rsidRPr="0017555C">
        <w:t>Direct Testimony of Anastacia Santos</w:t>
      </w:r>
      <w:r>
        <w:t>. SPS Exhibit 17</w:t>
      </w:r>
      <w:r w:rsidRPr="0017555C">
        <w:t xml:space="preserve"> at Attachment AS-2 at Table 4-1</w:t>
      </w:r>
      <w:r w:rsidR="006D35CB">
        <w:t>.</w:t>
      </w:r>
    </w:p>
  </w:footnote>
  <w:footnote w:id="42">
    <w:p w14:paraId="7E8857DA" w14:textId="2B8B8944" w:rsidR="008B52BC" w:rsidRDefault="008B52BC" w:rsidP="008B52BC">
      <w:pPr>
        <w:pStyle w:val="FootnoteText"/>
        <w:spacing w:after="120"/>
        <w:ind w:firstLine="720"/>
      </w:pPr>
      <w:r>
        <w:rPr>
          <w:rStyle w:val="FootnoteReference"/>
        </w:rPr>
        <w:footnoteRef/>
      </w:r>
      <w:r w:rsidR="009315D6">
        <w:t xml:space="preserve">  </w:t>
      </w:r>
      <w:r w:rsidR="007D069E">
        <w:rPr>
          <w:i/>
          <w:iCs/>
        </w:rPr>
        <w:t>Id.</w:t>
      </w:r>
    </w:p>
  </w:footnote>
  <w:footnote w:id="43">
    <w:p w14:paraId="4F9F4ECA" w14:textId="231DC19C" w:rsidR="008B52BC" w:rsidRDefault="008B52BC" w:rsidP="008B52BC">
      <w:pPr>
        <w:pStyle w:val="FootnoteText"/>
        <w:spacing w:after="120"/>
        <w:ind w:firstLine="720"/>
      </w:pPr>
      <w:r>
        <w:rPr>
          <w:rStyle w:val="FootnoteReference"/>
        </w:rPr>
        <w:footnoteRef/>
      </w:r>
      <w:r>
        <w:t xml:space="preserve"> </w:t>
      </w:r>
      <w:r w:rsidR="009315D6">
        <w:t xml:space="preserve"> </w:t>
      </w:r>
      <w:r w:rsidR="007D069E">
        <w:rPr>
          <w:i/>
          <w:iCs/>
        </w:rPr>
        <w:t>Id</w:t>
      </w:r>
      <w:r w:rsidR="006D35CB">
        <w:t>.</w:t>
      </w:r>
    </w:p>
  </w:footnote>
  <w:footnote w:id="44">
    <w:p w14:paraId="2D9E7A52" w14:textId="5B023059" w:rsidR="008B52BC" w:rsidRDefault="008B52BC" w:rsidP="008B52BC">
      <w:pPr>
        <w:pStyle w:val="FootnoteText"/>
        <w:spacing w:after="120"/>
        <w:ind w:firstLine="720"/>
      </w:pPr>
      <w:r>
        <w:rPr>
          <w:rStyle w:val="FootnoteReference"/>
        </w:rPr>
        <w:footnoteRef/>
      </w:r>
      <w:r>
        <w:t xml:space="preserve"> </w:t>
      </w:r>
      <w:r w:rsidR="009315D6">
        <w:t xml:space="preserve"> </w:t>
      </w:r>
      <w:r w:rsidR="007D069E">
        <w:rPr>
          <w:i/>
          <w:iCs/>
        </w:rPr>
        <w:t>Id</w:t>
      </w:r>
      <w:r w:rsidRPr="003C31CF">
        <w:rPr>
          <w:i/>
          <w:iCs/>
        </w:rPr>
        <w:t>.</w:t>
      </w:r>
    </w:p>
  </w:footnote>
  <w:footnote w:id="45">
    <w:p w14:paraId="33C75496" w14:textId="7E059B99" w:rsidR="008B52BC" w:rsidRDefault="008B52BC" w:rsidP="008B52BC">
      <w:pPr>
        <w:pStyle w:val="FootnoteText"/>
        <w:spacing w:after="120"/>
        <w:ind w:firstLine="720"/>
      </w:pPr>
      <w:r>
        <w:rPr>
          <w:rStyle w:val="FootnoteReference"/>
        </w:rPr>
        <w:footnoteRef/>
      </w:r>
      <w:r>
        <w:t xml:space="preserve"> </w:t>
      </w:r>
      <w:r w:rsidR="009315D6">
        <w:t xml:space="preserve"> </w:t>
      </w:r>
      <w:r w:rsidR="007D069E">
        <w:rPr>
          <w:i/>
          <w:iCs/>
        </w:rPr>
        <w:t>Id</w:t>
      </w:r>
      <w:r w:rsidRPr="003C31CF">
        <w:rPr>
          <w:i/>
          <w:iCs/>
        </w:rPr>
        <w:t>.</w:t>
      </w:r>
    </w:p>
  </w:footnote>
  <w:footnote w:id="46">
    <w:p w14:paraId="65418946" w14:textId="72A9CB84" w:rsidR="00EB7A44" w:rsidRDefault="00EB7A44" w:rsidP="00153B7E">
      <w:pPr>
        <w:pStyle w:val="FootnoteText"/>
        <w:ind w:firstLine="720"/>
      </w:pPr>
      <w:r>
        <w:rPr>
          <w:rStyle w:val="FootnoteReference"/>
        </w:rPr>
        <w:footnoteRef/>
      </w:r>
      <w:r>
        <w:t xml:space="preserve">  </w:t>
      </w:r>
      <w:r w:rsidRPr="00153B7E">
        <w:rPr>
          <w:i/>
          <w:iCs/>
        </w:rPr>
        <w:t>Id</w:t>
      </w:r>
      <w:r>
        <w:t>.</w:t>
      </w:r>
    </w:p>
  </w:footnote>
  <w:footnote w:id="47">
    <w:p w14:paraId="05BCB810" w14:textId="77777777" w:rsidR="00DF3DA9" w:rsidRPr="00DF3DA9" w:rsidRDefault="00DF3DA9" w:rsidP="00DF3DA9">
      <w:pPr>
        <w:pStyle w:val="FootnoteText"/>
        <w:spacing w:after="120"/>
        <w:ind w:firstLine="720"/>
      </w:pPr>
      <w:r w:rsidRPr="00DF3DA9">
        <w:rPr>
          <w:rStyle w:val="FootnoteReference"/>
        </w:rPr>
        <w:footnoteRef/>
      </w:r>
      <w:r w:rsidRPr="00DF3DA9">
        <w:t xml:space="preserve">  Staff’s Exhibit 5 at 13.</w:t>
      </w:r>
    </w:p>
  </w:footnote>
  <w:footnote w:id="48">
    <w:p w14:paraId="33EDE227" w14:textId="382F318C" w:rsidR="00DF3DA9" w:rsidRPr="00DF3DA9" w:rsidRDefault="00DF3DA9" w:rsidP="00DF3DA9">
      <w:pPr>
        <w:pStyle w:val="FootnoteText"/>
        <w:spacing w:after="120"/>
        <w:ind w:firstLine="720"/>
      </w:pPr>
      <w:r w:rsidRPr="00DF3DA9">
        <w:rPr>
          <w:rStyle w:val="FootnoteReference"/>
        </w:rPr>
        <w:footnoteRef/>
      </w:r>
      <w:r w:rsidRPr="00DF3DA9">
        <w:t xml:space="preserve">  </w:t>
      </w:r>
      <w:r w:rsidR="007D069E">
        <w:rPr>
          <w:i/>
          <w:iCs/>
        </w:rPr>
        <w:t>Id</w:t>
      </w:r>
      <w:r w:rsidRPr="00DF3DA9">
        <w:t>.</w:t>
      </w:r>
    </w:p>
  </w:footnote>
  <w:footnote w:id="49">
    <w:p w14:paraId="4809CFAE" w14:textId="7C837FF5" w:rsidR="00DF3DA9" w:rsidRPr="00DF3DA9" w:rsidRDefault="00DF3DA9" w:rsidP="00DF3DA9">
      <w:pPr>
        <w:pStyle w:val="FootnoteText"/>
        <w:spacing w:after="120"/>
        <w:ind w:firstLine="720"/>
      </w:pPr>
      <w:r w:rsidRPr="00DF3DA9">
        <w:rPr>
          <w:rStyle w:val="FootnoteReference"/>
        </w:rPr>
        <w:footnoteRef/>
      </w:r>
      <w:r w:rsidRPr="00DF3DA9">
        <w:t xml:space="preserve">  </w:t>
      </w:r>
      <w:r w:rsidR="007D069E">
        <w:rPr>
          <w:i/>
          <w:iCs/>
        </w:rPr>
        <w:t>Id</w:t>
      </w:r>
      <w:r w:rsidRPr="00DF3DA9">
        <w:t>.</w:t>
      </w:r>
    </w:p>
  </w:footnote>
  <w:footnote w:id="50">
    <w:p w14:paraId="3B711410" w14:textId="5BD0DF00" w:rsidR="00DF3DA9" w:rsidRPr="00DF3DA9" w:rsidRDefault="00DF3DA9" w:rsidP="00DF3DA9">
      <w:pPr>
        <w:pStyle w:val="FootnoteText"/>
        <w:spacing w:after="120"/>
        <w:ind w:firstLine="720"/>
      </w:pPr>
      <w:r w:rsidRPr="00DF3DA9">
        <w:rPr>
          <w:rStyle w:val="FootnoteReference"/>
        </w:rPr>
        <w:footnoteRef/>
      </w:r>
      <w:r w:rsidRPr="00DF3DA9">
        <w:t xml:space="preserve">  </w:t>
      </w:r>
      <w:r w:rsidR="007D069E">
        <w:rPr>
          <w:i/>
          <w:iCs/>
        </w:rPr>
        <w:t>Id</w:t>
      </w:r>
      <w:r w:rsidRPr="00DF3DA9">
        <w:t>.</w:t>
      </w:r>
    </w:p>
  </w:footnote>
  <w:footnote w:id="51">
    <w:p w14:paraId="7C1B7915" w14:textId="7707ECB9" w:rsidR="00DF3DA9" w:rsidRPr="00DF3DA9" w:rsidRDefault="00DF3DA9" w:rsidP="00DF3DA9">
      <w:pPr>
        <w:pStyle w:val="FootnoteText"/>
        <w:spacing w:after="120"/>
        <w:ind w:firstLine="720"/>
      </w:pPr>
      <w:r w:rsidRPr="00DF3DA9">
        <w:rPr>
          <w:rStyle w:val="FootnoteReference"/>
        </w:rPr>
        <w:footnoteRef/>
      </w:r>
      <w:r w:rsidRPr="00DF3DA9">
        <w:t xml:space="preserve">  </w:t>
      </w:r>
      <w:r w:rsidR="007D069E">
        <w:rPr>
          <w:i/>
          <w:iCs/>
        </w:rPr>
        <w:t>Id</w:t>
      </w:r>
      <w:r w:rsidRPr="00DF3DA9">
        <w:t>.</w:t>
      </w:r>
    </w:p>
  </w:footnote>
  <w:footnote w:id="52">
    <w:p w14:paraId="0104CC32" w14:textId="06115A5D" w:rsidR="008B52BC" w:rsidRDefault="008B52BC" w:rsidP="008B52BC">
      <w:pPr>
        <w:pStyle w:val="FootnoteText"/>
        <w:spacing w:after="120"/>
        <w:ind w:firstLine="720"/>
      </w:pPr>
      <w:r>
        <w:rPr>
          <w:rStyle w:val="FootnoteReference"/>
        </w:rPr>
        <w:footnoteRef/>
      </w:r>
      <w:r>
        <w:t xml:space="preserve"> </w:t>
      </w:r>
      <w:r w:rsidR="009315D6">
        <w:t xml:space="preserve"> </w:t>
      </w:r>
      <w:r w:rsidR="007D069E">
        <w:rPr>
          <w:i/>
          <w:iCs/>
        </w:rPr>
        <w:t>Id.</w:t>
      </w:r>
      <w:r>
        <w:t xml:space="preserve"> at 18.</w:t>
      </w:r>
    </w:p>
  </w:footnote>
  <w:footnote w:id="53">
    <w:p w14:paraId="301A5B81" w14:textId="3C255C85" w:rsidR="008B52BC" w:rsidRDefault="008B52BC" w:rsidP="008B52BC">
      <w:pPr>
        <w:pStyle w:val="FootnoteText"/>
        <w:spacing w:after="120"/>
        <w:ind w:firstLine="720"/>
      </w:pPr>
      <w:r>
        <w:rPr>
          <w:rStyle w:val="FootnoteReference"/>
        </w:rPr>
        <w:footnoteRef/>
      </w:r>
      <w:r>
        <w:t xml:space="preserve"> </w:t>
      </w:r>
      <w:r w:rsidR="009315D6">
        <w:t xml:space="preserve"> </w:t>
      </w:r>
      <w:r>
        <w:t>Rebuttal Testimony of Anastacia Santos, SPS Exhibit 18 at 7</w:t>
      </w:r>
      <w:r w:rsidR="006D35CB">
        <w:t>.</w:t>
      </w:r>
    </w:p>
  </w:footnote>
  <w:footnote w:id="54">
    <w:p w14:paraId="7E352653" w14:textId="4420C8E5" w:rsidR="008B52BC" w:rsidRDefault="008B52BC" w:rsidP="008B52BC">
      <w:pPr>
        <w:pStyle w:val="FootnoteText"/>
        <w:spacing w:after="120"/>
        <w:ind w:firstLine="720"/>
      </w:pPr>
      <w:r>
        <w:rPr>
          <w:rStyle w:val="FootnoteReference"/>
        </w:rPr>
        <w:footnoteRef/>
      </w:r>
      <w:r>
        <w:t xml:space="preserve">  Staff Exhibit 1 at 18.</w:t>
      </w:r>
    </w:p>
  </w:footnote>
  <w:footnote w:id="55">
    <w:p w14:paraId="05C0C47A" w14:textId="38C7D9C7" w:rsidR="00DF3DA9" w:rsidRPr="00976E77" w:rsidRDefault="00DF3DA9" w:rsidP="00DF3DA9">
      <w:pPr>
        <w:pStyle w:val="FootnoteText"/>
        <w:spacing w:after="120"/>
        <w:ind w:firstLine="720"/>
      </w:pPr>
      <w:r w:rsidRPr="00976E77">
        <w:rPr>
          <w:rStyle w:val="FootnoteReference"/>
        </w:rPr>
        <w:footnoteRef/>
      </w:r>
      <w:r w:rsidRPr="00976E77">
        <w:t xml:space="preserve"> </w:t>
      </w:r>
      <w:r w:rsidR="009315D6">
        <w:t xml:space="preserve"> </w:t>
      </w:r>
      <w:r w:rsidRPr="00976E77">
        <w:t>SPS Exhibit 17, Attachment AS-2 Environmental Assignment, Table 1-1 at 23.</w:t>
      </w:r>
    </w:p>
  </w:footnote>
  <w:footnote w:id="56">
    <w:p w14:paraId="4F3E2E26" w14:textId="62C45DA7" w:rsidR="00DF3DA9" w:rsidRPr="00566C8D" w:rsidRDefault="00DF3DA9" w:rsidP="00DF3DA9">
      <w:pPr>
        <w:pStyle w:val="FootnoteText"/>
        <w:spacing w:after="120"/>
        <w:ind w:firstLine="720"/>
      </w:pPr>
      <w:r w:rsidRPr="00566C8D">
        <w:rPr>
          <w:rStyle w:val="FootnoteReference"/>
        </w:rPr>
        <w:footnoteRef/>
      </w:r>
      <w:r w:rsidRPr="00566C8D">
        <w:t xml:space="preserve"> </w:t>
      </w:r>
      <w:r w:rsidR="009315D6">
        <w:t xml:space="preserve"> </w:t>
      </w:r>
      <w:r w:rsidR="007D069E">
        <w:rPr>
          <w:i/>
          <w:iCs/>
        </w:rPr>
        <w:t>Id</w:t>
      </w:r>
      <w:r w:rsidRPr="00566C8D">
        <w:t>.</w:t>
      </w:r>
    </w:p>
  </w:footnote>
  <w:footnote w:id="57">
    <w:p w14:paraId="1F7D39A1" w14:textId="2249AE88" w:rsidR="00DF3DA9" w:rsidRPr="00566C8D" w:rsidRDefault="00DF3DA9" w:rsidP="00DF3DA9">
      <w:pPr>
        <w:pStyle w:val="FootnoteText"/>
        <w:spacing w:after="120"/>
        <w:ind w:firstLine="720"/>
      </w:pPr>
      <w:r w:rsidRPr="00566C8D">
        <w:rPr>
          <w:rStyle w:val="FootnoteReference"/>
        </w:rPr>
        <w:footnoteRef/>
      </w:r>
      <w:r w:rsidRPr="00566C8D">
        <w:t xml:space="preserve"> </w:t>
      </w:r>
      <w:r w:rsidR="009315D6">
        <w:t xml:space="preserve"> </w:t>
      </w:r>
      <w:r w:rsidR="007D069E">
        <w:rPr>
          <w:i/>
          <w:iCs/>
        </w:rPr>
        <w:t>Id</w:t>
      </w:r>
      <w:r w:rsidRPr="00566C8D">
        <w:t>.</w:t>
      </w:r>
    </w:p>
  </w:footnote>
  <w:footnote w:id="58">
    <w:p w14:paraId="588DCDE5" w14:textId="3C2E3803" w:rsidR="00566C8D" w:rsidRDefault="00566C8D" w:rsidP="00153B7E">
      <w:pPr>
        <w:pStyle w:val="FootnoteText"/>
        <w:spacing w:after="120"/>
        <w:ind w:firstLine="720"/>
      </w:pPr>
      <w:r w:rsidRPr="00566C8D">
        <w:rPr>
          <w:rStyle w:val="FootnoteReference"/>
        </w:rPr>
        <w:footnoteRef/>
      </w:r>
      <w:r w:rsidRPr="00566C8D">
        <w:t xml:space="preserve"> </w:t>
      </w:r>
      <w:r w:rsidR="009315D6">
        <w:t xml:space="preserve"> </w:t>
      </w:r>
      <w:r w:rsidRPr="00566C8D">
        <w:t>SPS Exhibit 17, Attachment AS-2 Environmental Assignment, Table 1-1 at 23.</w:t>
      </w:r>
    </w:p>
  </w:footnote>
  <w:footnote w:id="59">
    <w:p w14:paraId="5320A66D" w14:textId="43CF3015" w:rsidR="00566C8D" w:rsidRPr="00566C8D" w:rsidRDefault="00566C8D" w:rsidP="00EB7A44">
      <w:pPr>
        <w:pStyle w:val="FootnoteText"/>
        <w:spacing w:after="120"/>
        <w:ind w:firstLine="720"/>
      </w:pPr>
      <w:r w:rsidRPr="00566C8D">
        <w:rPr>
          <w:rStyle w:val="FootnoteReference"/>
        </w:rPr>
        <w:footnoteRef/>
      </w:r>
      <w:r w:rsidRPr="00566C8D">
        <w:t xml:space="preserve"> </w:t>
      </w:r>
      <w:r w:rsidR="009315D6">
        <w:t xml:space="preserve"> </w:t>
      </w:r>
      <w:r w:rsidR="007D069E">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362"/>
    <w:multiLevelType w:val="hybridMultilevel"/>
    <w:tmpl w:val="A4480D16"/>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AA6260"/>
    <w:multiLevelType w:val="hybridMultilevel"/>
    <w:tmpl w:val="A8160190"/>
    <w:lvl w:ilvl="0" w:tplc="04090015">
      <w:start w:val="1"/>
      <w:numFmt w:val="upperLetter"/>
      <w:lvlText w:val="%1."/>
      <w:lvlJc w:val="left"/>
      <w:pPr>
        <w:ind w:left="1080" w:hanging="360"/>
      </w:pPr>
    </w:lvl>
    <w:lvl w:ilvl="1" w:tplc="6690007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1B501D"/>
    <w:multiLevelType w:val="hybridMultilevel"/>
    <w:tmpl w:val="82B28FDC"/>
    <w:lvl w:ilvl="0" w:tplc="8760E20E">
      <w:start w:val="1"/>
      <w:numFmt w:val="upperLetter"/>
      <w:lvlText w:val="%1."/>
      <w:lvlJc w:val="left"/>
      <w:pPr>
        <w:ind w:left="720" w:hanging="360"/>
      </w:pPr>
      <w:rPr>
        <w:rFonts w:ascii="Times New Roman" w:eastAsia="Times New Roman" w:hAnsi="Times New Roman" w:cs="Times New Roman" w:hint="default"/>
        <w:spacing w:val="-1"/>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2395"/>
    <w:multiLevelType w:val="hybridMultilevel"/>
    <w:tmpl w:val="A4FE4F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CF25A9"/>
    <w:multiLevelType w:val="hybridMultilevel"/>
    <w:tmpl w:val="EFB0E822"/>
    <w:lvl w:ilvl="0" w:tplc="04090013">
      <w:start w:val="1"/>
      <w:numFmt w:val="upperRoman"/>
      <w:lvlText w:val="%1."/>
      <w:lvlJc w:val="right"/>
      <w:pPr>
        <w:ind w:left="940" w:hanging="500"/>
        <w:jc w:val="right"/>
      </w:pPr>
      <w:rPr>
        <w:rFonts w:hint="default"/>
        <w:spacing w:val="-4"/>
        <w:w w:val="99"/>
        <w:sz w:val="24"/>
        <w:szCs w:val="24"/>
        <w:lang w:val="en-US" w:eastAsia="en-US" w:bidi="en-US"/>
      </w:rPr>
    </w:lvl>
    <w:lvl w:ilvl="1" w:tplc="8760E20E">
      <w:start w:val="1"/>
      <w:numFmt w:val="upperLetter"/>
      <w:lvlText w:val="%2."/>
      <w:lvlJc w:val="left"/>
      <w:pPr>
        <w:ind w:left="1660" w:hanging="720"/>
      </w:pPr>
      <w:rPr>
        <w:rFonts w:ascii="Times New Roman" w:eastAsia="Times New Roman" w:hAnsi="Times New Roman" w:cs="Times New Roman" w:hint="default"/>
        <w:spacing w:val="-1"/>
        <w:w w:val="99"/>
        <w:sz w:val="24"/>
        <w:szCs w:val="24"/>
        <w:lang w:val="en-US" w:eastAsia="en-US" w:bidi="en-US"/>
      </w:rPr>
    </w:lvl>
    <w:lvl w:ilvl="2" w:tplc="C8BE96C2">
      <w:start w:val="1"/>
      <w:numFmt w:val="decimal"/>
      <w:lvlText w:val="%3."/>
      <w:lvlJc w:val="left"/>
      <w:pPr>
        <w:ind w:left="2380" w:hanging="720"/>
      </w:pPr>
      <w:rPr>
        <w:rFonts w:ascii="Times New Roman" w:eastAsia="Times New Roman" w:hAnsi="Times New Roman" w:cs="Times New Roman" w:hint="default"/>
        <w:spacing w:val="-1"/>
        <w:w w:val="99"/>
        <w:sz w:val="24"/>
        <w:szCs w:val="24"/>
        <w:lang w:val="en-US" w:eastAsia="en-US" w:bidi="en-US"/>
      </w:rPr>
    </w:lvl>
    <w:lvl w:ilvl="3" w:tplc="02A4BF80">
      <w:start w:val="1"/>
      <w:numFmt w:val="lowerLetter"/>
      <w:lvlText w:val="%4."/>
      <w:lvlJc w:val="left"/>
      <w:pPr>
        <w:ind w:left="3100" w:hanging="720"/>
      </w:pPr>
      <w:rPr>
        <w:rFonts w:ascii="Times New Roman" w:eastAsia="Times New Roman" w:hAnsi="Times New Roman" w:cs="Times New Roman" w:hint="default"/>
        <w:spacing w:val="-1"/>
        <w:w w:val="99"/>
        <w:sz w:val="24"/>
        <w:szCs w:val="24"/>
        <w:lang w:val="en-US" w:eastAsia="en-US" w:bidi="en-US"/>
      </w:rPr>
    </w:lvl>
    <w:lvl w:ilvl="4" w:tplc="22E65D08">
      <w:numFmt w:val="bullet"/>
      <w:lvlText w:val="•"/>
      <w:lvlJc w:val="left"/>
      <w:pPr>
        <w:ind w:left="3985" w:hanging="720"/>
      </w:pPr>
      <w:rPr>
        <w:rFonts w:hint="default"/>
        <w:lang w:val="en-US" w:eastAsia="en-US" w:bidi="en-US"/>
      </w:rPr>
    </w:lvl>
    <w:lvl w:ilvl="5" w:tplc="75940E5E">
      <w:numFmt w:val="bullet"/>
      <w:lvlText w:val="•"/>
      <w:lvlJc w:val="left"/>
      <w:pPr>
        <w:ind w:left="4871" w:hanging="720"/>
      </w:pPr>
      <w:rPr>
        <w:rFonts w:hint="default"/>
        <w:lang w:val="en-US" w:eastAsia="en-US" w:bidi="en-US"/>
      </w:rPr>
    </w:lvl>
    <w:lvl w:ilvl="6" w:tplc="9F4C8CD8">
      <w:numFmt w:val="bullet"/>
      <w:lvlText w:val="•"/>
      <w:lvlJc w:val="left"/>
      <w:pPr>
        <w:ind w:left="5757" w:hanging="720"/>
      </w:pPr>
      <w:rPr>
        <w:rFonts w:hint="default"/>
        <w:lang w:val="en-US" w:eastAsia="en-US" w:bidi="en-US"/>
      </w:rPr>
    </w:lvl>
    <w:lvl w:ilvl="7" w:tplc="9ECC9510">
      <w:numFmt w:val="bullet"/>
      <w:lvlText w:val="•"/>
      <w:lvlJc w:val="left"/>
      <w:pPr>
        <w:ind w:left="6642" w:hanging="720"/>
      </w:pPr>
      <w:rPr>
        <w:rFonts w:hint="default"/>
        <w:lang w:val="en-US" w:eastAsia="en-US" w:bidi="en-US"/>
      </w:rPr>
    </w:lvl>
    <w:lvl w:ilvl="8" w:tplc="23503380">
      <w:numFmt w:val="bullet"/>
      <w:lvlText w:val="•"/>
      <w:lvlJc w:val="left"/>
      <w:pPr>
        <w:ind w:left="7528" w:hanging="720"/>
      </w:pPr>
      <w:rPr>
        <w:rFonts w:hint="default"/>
        <w:lang w:val="en-US" w:eastAsia="en-US" w:bidi="en-US"/>
      </w:rPr>
    </w:lvl>
  </w:abstractNum>
  <w:abstractNum w:abstractNumId="6" w15:restartNumberingAfterBreak="0">
    <w:nsid w:val="10D31355"/>
    <w:multiLevelType w:val="hybridMultilevel"/>
    <w:tmpl w:val="29E8F580"/>
    <w:lvl w:ilvl="0" w:tplc="609822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526523"/>
    <w:multiLevelType w:val="hybridMultilevel"/>
    <w:tmpl w:val="4112D44E"/>
    <w:lvl w:ilvl="0" w:tplc="8928567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507B1B"/>
    <w:multiLevelType w:val="hybridMultilevel"/>
    <w:tmpl w:val="42844AC0"/>
    <w:lvl w:ilvl="0" w:tplc="218A1642">
      <w:start w:val="1"/>
      <w:numFmt w:val="upperLetter"/>
      <w:lvlText w:val="%1."/>
      <w:lvlJc w:val="left"/>
      <w:pPr>
        <w:ind w:left="840" w:hanging="360"/>
      </w:pPr>
      <w:rPr>
        <w:rFonts w:eastAsia="Times New Roman" w:hint="default"/>
        <w:color w:val="0000FF"/>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C1E6868"/>
    <w:multiLevelType w:val="hybridMultilevel"/>
    <w:tmpl w:val="6E68FF66"/>
    <w:lvl w:ilvl="0" w:tplc="41386F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665038E"/>
    <w:multiLevelType w:val="hybridMultilevel"/>
    <w:tmpl w:val="59884460"/>
    <w:lvl w:ilvl="0" w:tplc="7592F6CA">
      <w:start w:val="1"/>
      <w:numFmt w:val="upperLetter"/>
      <w:lvlText w:val="%1."/>
      <w:lvlJc w:val="left"/>
      <w:pPr>
        <w:tabs>
          <w:tab w:val="num" w:pos="780"/>
        </w:tabs>
        <w:ind w:left="780" w:hanging="420"/>
      </w:pPr>
      <w:rPr>
        <w:rFonts w:hint="default"/>
      </w:rPr>
    </w:lvl>
    <w:lvl w:ilvl="1" w:tplc="9ECEB86A">
      <w:start w:val="1"/>
      <w:numFmt w:val="decimal"/>
      <w:lvlText w:val="%2."/>
      <w:lvlJc w:val="left"/>
      <w:pPr>
        <w:tabs>
          <w:tab w:val="num" w:pos="1440"/>
        </w:tabs>
        <w:ind w:left="1440" w:hanging="360"/>
      </w:pPr>
      <w:rPr>
        <w:rFonts w:hint="default"/>
      </w:rPr>
    </w:lvl>
    <w:lvl w:ilvl="2" w:tplc="9190DB3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002334"/>
    <w:multiLevelType w:val="hybridMultilevel"/>
    <w:tmpl w:val="89A612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EAC1E50"/>
    <w:multiLevelType w:val="hybridMultilevel"/>
    <w:tmpl w:val="21D67F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A21EE"/>
    <w:multiLevelType w:val="hybridMultilevel"/>
    <w:tmpl w:val="8F3EC1E6"/>
    <w:lvl w:ilvl="0" w:tplc="8760E20E">
      <w:start w:val="1"/>
      <w:numFmt w:val="upperLetter"/>
      <w:lvlText w:val="%1."/>
      <w:lvlJc w:val="left"/>
      <w:pPr>
        <w:ind w:left="720" w:hanging="360"/>
      </w:pPr>
      <w:rPr>
        <w:rFonts w:ascii="Times New Roman" w:eastAsia="Times New Roman" w:hAnsi="Times New Roman" w:cs="Times New Roman" w:hint="default"/>
        <w:spacing w:val="-1"/>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77D49F7"/>
    <w:multiLevelType w:val="hybridMultilevel"/>
    <w:tmpl w:val="A320955E"/>
    <w:lvl w:ilvl="0" w:tplc="41386F4A">
      <w:start w:val="1"/>
      <w:numFmt w:val="decimal"/>
      <w:lvlText w:val="(%1)"/>
      <w:lvlJc w:val="left"/>
      <w:pPr>
        <w:ind w:left="2160" w:hanging="360"/>
      </w:pPr>
      <w:rPr>
        <w:rFonts w:hint="default"/>
      </w:rPr>
    </w:lvl>
    <w:lvl w:ilvl="1" w:tplc="41386F4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C7BB1"/>
    <w:multiLevelType w:val="hybridMultilevel"/>
    <w:tmpl w:val="2E0E2190"/>
    <w:lvl w:ilvl="0" w:tplc="1384F520">
      <w:start w:val="2"/>
      <w:numFmt w:val="upperLetter"/>
      <w:lvlText w:val="%1."/>
      <w:lvlJc w:val="left"/>
      <w:pPr>
        <w:ind w:left="720" w:hanging="360"/>
      </w:pPr>
      <w:rPr>
        <w:rFonts w:ascii="Times New Roman" w:eastAsia="Times New Roman" w:hAnsi="Times New Roman" w:cs="Times New Roman" w:hint="default"/>
        <w:spacing w:val="-1"/>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E900D9"/>
    <w:multiLevelType w:val="hybridMultilevel"/>
    <w:tmpl w:val="45B0EDAC"/>
    <w:lvl w:ilvl="0" w:tplc="8760E20E">
      <w:start w:val="1"/>
      <w:numFmt w:val="upperLetter"/>
      <w:lvlText w:val="%1."/>
      <w:lvlJc w:val="left"/>
      <w:pPr>
        <w:ind w:left="1440" w:hanging="360"/>
      </w:pPr>
      <w:rPr>
        <w:rFonts w:ascii="Times New Roman" w:eastAsia="Times New Roman" w:hAnsi="Times New Roman" w:cs="Times New Roman" w:hint="default"/>
        <w:spacing w:val="-1"/>
        <w:w w:val="99"/>
        <w:sz w:val="24"/>
        <w:szCs w:val="24"/>
        <w:lang w:val="en-US" w:eastAsia="en-US" w:bidi="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1E0E95"/>
    <w:multiLevelType w:val="hybridMultilevel"/>
    <w:tmpl w:val="1458DD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BB12C7"/>
    <w:multiLevelType w:val="hybridMultilevel"/>
    <w:tmpl w:val="760048CE"/>
    <w:lvl w:ilvl="0" w:tplc="E60A97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601A38"/>
    <w:multiLevelType w:val="hybridMultilevel"/>
    <w:tmpl w:val="2D20AD08"/>
    <w:lvl w:ilvl="0" w:tplc="8760E20E">
      <w:start w:val="1"/>
      <w:numFmt w:val="upperLetter"/>
      <w:lvlText w:val="%1."/>
      <w:lvlJc w:val="left"/>
      <w:pPr>
        <w:ind w:left="720" w:hanging="360"/>
      </w:pPr>
      <w:rPr>
        <w:rFonts w:ascii="Times New Roman" w:eastAsia="Times New Roman" w:hAnsi="Times New Roman" w:cs="Times New Roman" w:hint="default"/>
        <w:spacing w:val="-1"/>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572B6"/>
    <w:multiLevelType w:val="hybridMultilevel"/>
    <w:tmpl w:val="1974DE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837491"/>
    <w:multiLevelType w:val="hybridMultilevel"/>
    <w:tmpl w:val="3152880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C80D19"/>
    <w:multiLevelType w:val="hybridMultilevel"/>
    <w:tmpl w:val="52CA7494"/>
    <w:lvl w:ilvl="0" w:tplc="BA08545C">
      <w:start w:val="7"/>
      <w:numFmt w:val="upperRoman"/>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DF29E4"/>
    <w:multiLevelType w:val="hybridMultilevel"/>
    <w:tmpl w:val="84CE7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35E66"/>
    <w:multiLevelType w:val="hybridMultilevel"/>
    <w:tmpl w:val="7CFA2A14"/>
    <w:lvl w:ilvl="0" w:tplc="8760E20E">
      <w:start w:val="1"/>
      <w:numFmt w:val="upperLetter"/>
      <w:lvlText w:val="%1."/>
      <w:lvlJc w:val="left"/>
      <w:pPr>
        <w:ind w:left="720" w:hanging="360"/>
      </w:pPr>
      <w:rPr>
        <w:rFonts w:ascii="Times New Roman" w:eastAsia="Times New Roman" w:hAnsi="Times New Roman" w:cs="Times New Roman" w:hint="default"/>
        <w:spacing w:val="-1"/>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42425"/>
    <w:multiLevelType w:val="hybridMultilevel"/>
    <w:tmpl w:val="A8540AB8"/>
    <w:lvl w:ilvl="0" w:tplc="8760E20E">
      <w:start w:val="1"/>
      <w:numFmt w:val="upperLetter"/>
      <w:lvlText w:val="%1."/>
      <w:lvlJc w:val="left"/>
      <w:pPr>
        <w:ind w:left="720" w:hanging="360"/>
      </w:pPr>
      <w:rPr>
        <w:rFonts w:ascii="Times New Roman" w:eastAsia="Times New Roman" w:hAnsi="Times New Roman" w:cs="Times New Roman" w:hint="default"/>
        <w:spacing w:val="-1"/>
        <w:w w:val="99"/>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1B4482"/>
    <w:multiLevelType w:val="hybridMultilevel"/>
    <w:tmpl w:val="E48EB69A"/>
    <w:lvl w:ilvl="0" w:tplc="C9E84A94">
      <w:start w:val="1"/>
      <w:numFmt w:val="upperRoman"/>
      <w:lvlText w:val="%1."/>
      <w:lvlJc w:val="left"/>
      <w:pPr>
        <w:ind w:left="940" w:hanging="500"/>
        <w:jc w:val="right"/>
      </w:pPr>
      <w:rPr>
        <w:rFonts w:ascii="Times New Roman" w:eastAsia="Times New Roman" w:hAnsi="Times New Roman" w:cs="Times New Roman" w:hint="default"/>
        <w:spacing w:val="-4"/>
        <w:w w:val="99"/>
        <w:sz w:val="24"/>
        <w:szCs w:val="24"/>
        <w:lang w:val="en-US" w:eastAsia="en-US" w:bidi="en-US"/>
      </w:rPr>
    </w:lvl>
    <w:lvl w:ilvl="1" w:tplc="8760E20E">
      <w:start w:val="1"/>
      <w:numFmt w:val="upperLetter"/>
      <w:lvlText w:val="%2."/>
      <w:lvlJc w:val="left"/>
      <w:pPr>
        <w:ind w:left="1660" w:hanging="720"/>
      </w:pPr>
      <w:rPr>
        <w:rFonts w:ascii="Times New Roman" w:eastAsia="Times New Roman" w:hAnsi="Times New Roman" w:cs="Times New Roman" w:hint="default"/>
        <w:spacing w:val="-1"/>
        <w:w w:val="99"/>
        <w:sz w:val="24"/>
        <w:szCs w:val="24"/>
        <w:lang w:val="en-US" w:eastAsia="en-US" w:bidi="en-US"/>
      </w:rPr>
    </w:lvl>
    <w:lvl w:ilvl="2" w:tplc="C8BE96C2">
      <w:start w:val="1"/>
      <w:numFmt w:val="decimal"/>
      <w:lvlText w:val="%3."/>
      <w:lvlJc w:val="left"/>
      <w:pPr>
        <w:ind w:left="2380" w:hanging="720"/>
      </w:pPr>
      <w:rPr>
        <w:rFonts w:ascii="Times New Roman" w:eastAsia="Times New Roman" w:hAnsi="Times New Roman" w:cs="Times New Roman" w:hint="default"/>
        <w:spacing w:val="-1"/>
        <w:w w:val="99"/>
        <w:sz w:val="24"/>
        <w:szCs w:val="24"/>
        <w:lang w:val="en-US" w:eastAsia="en-US" w:bidi="en-US"/>
      </w:rPr>
    </w:lvl>
    <w:lvl w:ilvl="3" w:tplc="02A4BF80">
      <w:start w:val="1"/>
      <w:numFmt w:val="lowerLetter"/>
      <w:lvlText w:val="%4."/>
      <w:lvlJc w:val="left"/>
      <w:pPr>
        <w:ind w:left="3100" w:hanging="720"/>
      </w:pPr>
      <w:rPr>
        <w:rFonts w:ascii="Times New Roman" w:eastAsia="Times New Roman" w:hAnsi="Times New Roman" w:cs="Times New Roman" w:hint="default"/>
        <w:spacing w:val="-1"/>
        <w:w w:val="99"/>
        <w:sz w:val="24"/>
        <w:szCs w:val="24"/>
        <w:lang w:val="en-US" w:eastAsia="en-US" w:bidi="en-US"/>
      </w:rPr>
    </w:lvl>
    <w:lvl w:ilvl="4" w:tplc="22E65D08">
      <w:numFmt w:val="bullet"/>
      <w:lvlText w:val="•"/>
      <w:lvlJc w:val="left"/>
      <w:pPr>
        <w:ind w:left="3985" w:hanging="720"/>
      </w:pPr>
      <w:rPr>
        <w:rFonts w:hint="default"/>
        <w:lang w:val="en-US" w:eastAsia="en-US" w:bidi="en-US"/>
      </w:rPr>
    </w:lvl>
    <w:lvl w:ilvl="5" w:tplc="75940E5E">
      <w:numFmt w:val="bullet"/>
      <w:lvlText w:val="•"/>
      <w:lvlJc w:val="left"/>
      <w:pPr>
        <w:ind w:left="4871" w:hanging="720"/>
      </w:pPr>
      <w:rPr>
        <w:rFonts w:hint="default"/>
        <w:lang w:val="en-US" w:eastAsia="en-US" w:bidi="en-US"/>
      </w:rPr>
    </w:lvl>
    <w:lvl w:ilvl="6" w:tplc="9F4C8CD8">
      <w:numFmt w:val="bullet"/>
      <w:lvlText w:val="•"/>
      <w:lvlJc w:val="left"/>
      <w:pPr>
        <w:ind w:left="5757" w:hanging="720"/>
      </w:pPr>
      <w:rPr>
        <w:rFonts w:hint="default"/>
        <w:lang w:val="en-US" w:eastAsia="en-US" w:bidi="en-US"/>
      </w:rPr>
    </w:lvl>
    <w:lvl w:ilvl="7" w:tplc="9ECC9510">
      <w:numFmt w:val="bullet"/>
      <w:lvlText w:val="•"/>
      <w:lvlJc w:val="left"/>
      <w:pPr>
        <w:ind w:left="6642" w:hanging="720"/>
      </w:pPr>
      <w:rPr>
        <w:rFonts w:hint="default"/>
        <w:lang w:val="en-US" w:eastAsia="en-US" w:bidi="en-US"/>
      </w:rPr>
    </w:lvl>
    <w:lvl w:ilvl="8" w:tplc="23503380">
      <w:numFmt w:val="bullet"/>
      <w:lvlText w:val="•"/>
      <w:lvlJc w:val="left"/>
      <w:pPr>
        <w:ind w:left="7528" w:hanging="720"/>
      </w:pPr>
      <w:rPr>
        <w:rFonts w:hint="default"/>
        <w:lang w:val="en-US" w:eastAsia="en-US" w:bidi="en-US"/>
      </w:rPr>
    </w:lvl>
  </w:abstractNum>
  <w:abstractNum w:abstractNumId="31" w15:restartNumberingAfterBreak="0">
    <w:nsid w:val="652202BF"/>
    <w:multiLevelType w:val="hybridMultilevel"/>
    <w:tmpl w:val="2376E9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6CDE5C12"/>
    <w:multiLevelType w:val="hybridMultilevel"/>
    <w:tmpl w:val="5D224CD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061DBE"/>
    <w:multiLevelType w:val="hybridMultilevel"/>
    <w:tmpl w:val="7BD86CF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81401D"/>
    <w:multiLevelType w:val="hybridMultilevel"/>
    <w:tmpl w:val="CAD26F16"/>
    <w:lvl w:ilvl="0" w:tplc="C144D722">
      <w:start w:val="2"/>
      <w:numFmt w:val="upperLetter"/>
      <w:lvlText w:val="%1."/>
      <w:lvlJc w:val="left"/>
      <w:pPr>
        <w:ind w:left="720" w:hanging="360"/>
      </w:pPr>
      <w:rPr>
        <w:rFonts w:ascii="Times New Roman" w:eastAsia="Times New Roman" w:hAnsi="Times New Roman" w:cs="Times New Roman" w:hint="default"/>
        <w:spacing w:val="-1"/>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DE1DD7"/>
    <w:multiLevelType w:val="hybridMultilevel"/>
    <w:tmpl w:val="B338FEDE"/>
    <w:lvl w:ilvl="0" w:tplc="D9BA5EC0">
      <w:start w:val="1"/>
      <w:numFmt w:val="upperRoman"/>
      <w:lvlText w:val="%1."/>
      <w:lvlJc w:val="righ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24DE6"/>
    <w:multiLevelType w:val="hybridMultilevel"/>
    <w:tmpl w:val="62665704"/>
    <w:lvl w:ilvl="0" w:tplc="41386F4A">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8703F68"/>
    <w:multiLevelType w:val="hybridMultilevel"/>
    <w:tmpl w:val="51849B5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020D69"/>
    <w:multiLevelType w:val="hybridMultilevel"/>
    <w:tmpl w:val="62E8B8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42"/>
  </w:num>
  <w:num w:numId="3">
    <w:abstractNumId w:val="13"/>
  </w:num>
  <w:num w:numId="4">
    <w:abstractNumId w:val="9"/>
  </w:num>
  <w:num w:numId="5">
    <w:abstractNumId w:val="40"/>
  </w:num>
  <w:num w:numId="6">
    <w:abstractNumId w:val="38"/>
  </w:num>
  <w:num w:numId="7">
    <w:abstractNumId w:val="16"/>
  </w:num>
  <w:num w:numId="8">
    <w:abstractNumId w:val="17"/>
  </w:num>
  <w:num w:numId="9">
    <w:abstractNumId w:val="32"/>
  </w:num>
  <w:num w:numId="10">
    <w:abstractNumId w:val="6"/>
  </w:num>
  <w:num w:numId="11">
    <w:abstractNumId w:val="11"/>
  </w:num>
  <w:num w:numId="12">
    <w:abstractNumId w:val="30"/>
  </w:num>
  <w:num w:numId="13">
    <w:abstractNumId w:val="36"/>
  </w:num>
  <w:num w:numId="14">
    <w:abstractNumId w:val="5"/>
  </w:num>
  <w:num w:numId="15">
    <w:abstractNumId w:val="14"/>
  </w:num>
  <w:num w:numId="16">
    <w:abstractNumId w:val="12"/>
  </w:num>
  <w:num w:numId="17">
    <w:abstractNumId w:val="15"/>
  </w:num>
  <w:num w:numId="18">
    <w:abstractNumId w:val="2"/>
  </w:num>
  <w:num w:numId="19">
    <w:abstractNumId w:val="41"/>
  </w:num>
  <w:num w:numId="20">
    <w:abstractNumId w:val="39"/>
  </w:num>
  <w:num w:numId="21">
    <w:abstractNumId w:val="20"/>
  </w:num>
  <w:num w:numId="22">
    <w:abstractNumId w:val="31"/>
  </w:num>
  <w:num w:numId="23">
    <w:abstractNumId w:val="23"/>
  </w:num>
  <w:num w:numId="24">
    <w:abstractNumId w:val="29"/>
  </w:num>
  <w:num w:numId="25">
    <w:abstractNumId w:val="28"/>
  </w:num>
  <w:num w:numId="26">
    <w:abstractNumId w:val="33"/>
  </w:num>
  <w:num w:numId="27">
    <w:abstractNumId w:val="22"/>
  </w:num>
  <w:num w:numId="28">
    <w:abstractNumId w:val="35"/>
  </w:num>
  <w:num w:numId="29">
    <w:abstractNumId w:val="34"/>
  </w:num>
  <w:num w:numId="30">
    <w:abstractNumId w:val="19"/>
  </w:num>
  <w:num w:numId="31">
    <w:abstractNumId w:val="26"/>
  </w:num>
  <w:num w:numId="32">
    <w:abstractNumId w:val="3"/>
  </w:num>
  <w:num w:numId="33">
    <w:abstractNumId w:val="1"/>
  </w:num>
  <w:num w:numId="34">
    <w:abstractNumId w:val="25"/>
  </w:num>
  <w:num w:numId="35">
    <w:abstractNumId w:val="7"/>
  </w:num>
  <w:num w:numId="36">
    <w:abstractNumId w:val="0"/>
  </w:num>
  <w:num w:numId="37">
    <w:abstractNumId w:val="21"/>
  </w:num>
  <w:num w:numId="38">
    <w:abstractNumId w:val="24"/>
  </w:num>
  <w:num w:numId="39">
    <w:abstractNumId w:val="27"/>
  </w:num>
  <w:num w:numId="40">
    <w:abstractNumId w:val="37"/>
  </w:num>
  <w:num w:numId="41">
    <w:abstractNumId w:val="18"/>
  </w:num>
  <w:num w:numId="42">
    <w:abstractNumId w:val="1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52"/>
    <w:rsid w:val="00002AAA"/>
    <w:rsid w:val="00013CD3"/>
    <w:rsid w:val="0002272F"/>
    <w:rsid w:val="00037C3C"/>
    <w:rsid w:val="00055DD9"/>
    <w:rsid w:val="00080F3F"/>
    <w:rsid w:val="00083D60"/>
    <w:rsid w:val="000C41A1"/>
    <w:rsid w:val="000E2683"/>
    <w:rsid w:val="000F10D4"/>
    <w:rsid w:val="00113E9E"/>
    <w:rsid w:val="00140A57"/>
    <w:rsid w:val="00153B7E"/>
    <w:rsid w:val="00154D9E"/>
    <w:rsid w:val="00166BB4"/>
    <w:rsid w:val="0018420D"/>
    <w:rsid w:val="00192332"/>
    <w:rsid w:val="001A322C"/>
    <w:rsid w:val="001A4876"/>
    <w:rsid w:val="001B52B0"/>
    <w:rsid w:val="001D22A3"/>
    <w:rsid w:val="001D7E38"/>
    <w:rsid w:val="00201ECD"/>
    <w:rsid w:val="0020467B"/>
    <w:rsid w:val="00211F08"/>
    <w:rsid w:val="00215F10"/>
    <w:rsid w:val="00216CBE"/>
    <w:rsid w:val="00220EA3"/>
    <w:rsid w:val="00253D41"/>
    <w:rsid w:val="002601FD"/>
    <w:rsid w:val="00271345"/>
    <w:rsid w:val="002821E1"/>
    <w:rsid w:val="00284F76"/>
    <w:rsid w:val="002B15C0"/>
    <w:rsid w:val="002C6FB3"/>
    <w:rsid w:val="002E2D9A"/>
    <w:rsid w:val="002F26B1"/>
    <w:rsid w:val="002F7E39"/>
    <w:rsid w:val="00314E4F"/>
    <w:rsid w:val="0033486D"/>
    <w:rsid w:val="0038378D"/>
    <w:rsid w:val="003A1AF1"/>
    <w:rsid w:val="003A316C"/>
    <w:rsid w:val="0046764B"/>
    <w:rsid w:val="00474067"/>
    <w:rsid w:val="00486710"/>
    <w:rsid w:val="0049071B"/>
    <w:rsid w:val="004A0F2C"/>
    <w:rsid w:val="004A720D"/>
    <w:rsid w:val="004C10A6"/>
    <w:rsid w:val="004D2D3F"/>
    <w:rsid w:val="004D42AB"/>
    <w:rsid w:val="004D469B"/>
    <w:rsid w:val="004F30DA"/>
    <w:rsid w:val="004F46C5"/>
    <w:rsid w:val="00533BD1"/>
    <w:rsid w:val="00543ADE"/>
    <w:rsid w:val="00564823"/>
    <w:rsid w:val="00566C8D"/>
    <w:rsid w:val="00571020"/>
    <w:rsid w:val="0058514B"/>
    <w:rsid w:val="0059170A"/>
    <w:rsid w:val="005A21D2"/>
    <w:rsid w:val="005A34F7"/>
    <w:rsid w:val="005F69DC"/>
    <w:rsid w:val="006052D6"/>
    <w:rsid w:val="0061100E"/>
    <w:rsid w:val="006214AB"/>
    <w:rsid w:val="00622D1C"/>
    <w:rsid w:val="00624B4E"/>
    <w:rsid w:val="00626552"/>
    <w:rsid w:val="00631F39"/>
    <w:rsid w:val="00645CD6"/>
    <w:rsid w:val="0066424D"/>
    <w:rsid w:val="00670C04"/>
    <w:rsid w:val="0067553F"/>
    <w:rsid w:val="00692AD4"/>
    <w:rsid w:val="006A0EC7"/>
    <w:rsid w:val="006A1468"/>
    <w:rsid w:val="006B4B80"/>
    <w:rsid w:val="006C6C8A"/>
    <w:rsid w:val="006D35CB"/>
    <w:rsid w:val="006D4916"/>
    <w:rsid w:val="006D7058"/>
    <w:rsid w:val="006E28DB"/>
    <w:rsid w:val="006E459C"/>
    <w:rsid w:val="006E7A4D"/>
    <w:rsid w:val="006F173F"/>
    <w:rsid w:val="00701CE4"/>
    <w:rsid w:val="0071066D"/>
    <w:rsid w:val="00720413"/>
    <w:rsid w:val="00731080"/>
    <w:rsid w:val="0073494D"/>
    <w:rsid w:val="00741965"/>
    <w:rsid w:val="00745182"/>
    <w:rsid w:val="00786A5E"/>
    <w:rsid w:val="007A54CB"/>
    <w:rsid w:val="007A729D"/>
    <w:rsid w:val="007B09CB"/>
    <w:rsid w:val="007C2128"/>
    <w:rsid w:val="007C24D1"/>
    <w:rsid w:val="007D069E"/>
    <w:rsid w:val="007E5949"/>
    <w:rsid w:val="007F4246"/>
    <w:rsid w:val="00805CE3"/>
    <w:rsid w:val="008953AC"/>
    <w:rsid w:val="008A53C4"/>
    <w:rsid w:val="008B52BC"/>
    <w:rsid w:val="008D16F0"/>
    <w:rsid w:val="008D7BE9"/>
    <w:rsid w:val="00905D4A"/>
    <w:rsid w:val="009151D7"/>
    <w:rsid w:val="00927D93"/>
    <w:rsid w:val="009315D6"/>
    <w:rsid w:val="0095440D"/>
    <w:rsid w:val="0096627C"/>
    <w:rsid w:val="009740C0"/>
    <w:rsid w:val="00976E77"/>
    <w:rsid w:val="00985B4F"/>
    <w:rsid w:val="009933F1"/>
    <w:rsid w:val="009C3339"/>
    <w:rsid w:val="009D588E"/>
    <w:rsid w:val="009E6441"/>
    <w:rsid w:val="00A07838"/>
    <w:rsid w:val="00A124AC"/>
    <w:rsid w:val="00A23B7B"/>
    <w:rsid w:val="00A46A56"/>
    <w:rsid w:val="00A665A1"/>
    <w:rsid w:val="00AA5647"/>
    <w:rsid w:val="00AB1D4C"/>
    <w:rsid w:val="00AB6337"/>
    <w:rsid w:val="00AD347F"/>
    <w:rsid w:val="00AD792D"/>
    <w:rsid w:val="00AE028A"/>
    <w:rsid w:val="00AF2C6F"/>
    <w:rsid w:val="00B20ED7"/>
    <w:rsid w:val="00B5494B"/>
    <w:rsid w:val="00B64AE4"/>
    <w:rsid w:val="00B64F0D"/>
    <w:rsid w:val="00B73938"/>
    <w:rsid w:val="00B8263D"/>
    <w:rsid w:val="00BA25F8"/>
    <w:rsid w:val="00BA3E14"/>
    <w:rsid w:val="00BD4DE9"/>
    <w:rsid w:val="00C0040E"/>
    <w:rsid w:val="00C15E72"/>
    <w:rsid w:val="00C20D7C"/>
    <w:rsid w:val="00C27E26"/>
    <w:rsid w:val="00C51EC9"/>
    <w:rsid w:val="00C71806"/>
    <w:rsid w:val="00C718BB"/>
    <w:rsid w:val="00CB4657"/>
    <w:rsid w:val="00CD47FB"/>
    <w:rsid w:val="00CD4EAA"/>
    <w:rsid w:val="00CE289E"/>
    <w:rsid w:val="00CF2246"/>
    <w:rsid w:val="00D16357"/>
    <w:rsid w:val="00D22B99"/>
    <w:rsid w:val="00D24372"/>
    <w:rsid w:val="00D43C3D"/>
    <w:rsid w:val="00D512E1"/>
    <w:rsid w:val="00D85125"/>
    <w:rsid w:val="00D85DFD"/>
    <w:rsid w:val="00D90C1F"/>
    <w:rsid w:val="00DA006B"/>
    <w:rsid w:val="00DC211D"/>
    <w:rsid w:val="00DD17FD"/>
    <w:rsid w:val="00DF3DA9"/>
    <w:rsid w:val="00E2711B"/>
    <w:rsid w:val="00E33364"/>
    <w:rsid w:val="00E72BA0"/>
    <w:rsid w:val="00E744AC"/>
    <w:rsid w:val="00EA2C92"/>
    <w:rsid w:val="00EA3A77"/>
    <w:rsid w:val="00EB0A93"/>
    <w:rsid w:val="00EB5B07"/>
    <w:rsid w:val="00EB7A44"/>
    <w:rsid w:val="00ED0A46"/>
    <w:rsid w:val="00EE0804"/>
    <w:rsid w:val="00F006B4"/>
    <w:rsid w:val="00F2044A"/>
    <w:rsid w:val="00F36B33"/>
    <w:rsid w:val="00F36FFA"/>
    <w:rsid w:val="00F4025D"/>
    <w:rsid w:val="00F73F1C"/>
    <w:rsid w:val="00F74E8B"/>
    <w:rsid w:val="00F75C99"/>
    <w:rsid w:val="00FD2406"/>
    <w:rsid w:val="00FE1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1A89A9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57"/>
  </w:style>
  <w:style w:type="paragraph" w:styleId="Heading1">
    <w:name w:val="heading 1"/>
    <w:basedOn w:val="Normal"/>
    <w:next w:val="Normal"/>
    <w:link w:val="Heading1Char"/>
    <w:qFormat/>
    <w:rsid w:val="00626552"/>
    <w:pPr>
      <w:keepNext/>
      <w:spacing w:after="120" w:line="240" w:lineRule="auto"/>
      <w:ind w:left="720" w:hanging="720"/>
      <w:jc w:val="center"/>
      <w:outlineLvl w:val="0"/>
    </w:pPr>
    <w:rPr>
      <w:rFonts w:ascii="Times New Roman" w:eastAsia="Times New Roman" w:hAnsi="Times New Roman" w:cs="Times New Roman"/>
      <w:b/>
      <w:caps/>
      <w:sz w:val="28"/>
      <w:szCs w:val="20"/>
    </w:rPr>
  </w:style>
  <w:style w:type="paragraph" w:styleId="Heading2">
    <w:name w:val="heading 2"/>
    <w:basedOn w:val="Heading1"/>
    <w:next w:val="Normal"/>
    <w:link w:val="Heading2Char"/>
    <w:qFormat/>
    <w:rsid w:val="00626552"/>
    <w:pPr>
      <w:jc w:val="left"/>
      <w:outlineLvl w:val="1"/>
    </w:pPr>
    <w:rPr>
      <w:caps w:val="0"/>
    </w:rPr>
  </w:style>
  <w:style w:type="paragraph" w:styleId="Heading3">
    <w:name w:val="heading 3"/>
    <w:basedOn w:val="Heading2"/>
    <w:next w:val="Normal"/>
    <w:link w:val="Heading3Char"/>
    <w:qFormat/>
    <w:rsid w:val="00626552"/>
    <w:pPr>
      <w:ind w:left="1440"/>
      <w:outlineLvl w:val="2"/>
    </w:pPr>
  </w:style>
  <w:style w:type="paragraph" w:styleId="Heading4">
    <w:name w:val="heading 4"/>
    <w:basedOn w:val="Heading3"/>
    <w:next w:val="Normal"/>
    <w:link w:val="Heading4Char"/>
    <w:qFormat/>
    <w:rsid w:val="00626552"/>
    <w:pPr>
      <w:ind w:left="2160"/>
      <w:outlineLvl w:val="3"/>
    </w:pPr>
  </w:style>
  <w:style w:type="paragraph" w:styleId="Heading5">
    <w:name w:val="heading 5"/>
    <w:basedOn w:val="Heading4"/>
    <w:next w:val="Normal"/>
    <w:link w:val="Heading5Char"/>
    <w:qFormat/>
    <w:rsid w:val="00626552"/>
    <w:pPr>
      <w:ind w:left="2880"/>
      <w:outlineLvl w:val="4"/>
    </w:pPr>
  </w:style>
  <w:style w:type="paragraph" w:styleId="Heading6">
    <w:name w:val="heading 6"/>
    <w:basedOn w:val="Heading5"/>
    <w:next w:val="Normal"/>
    <w:link w:val="Heading6Char"/>
    <w:qFormat/>
    <w:rsid w:val="00626552"/>
    <w:pPr>
      <w:ind w:left="3600"/>
      <w:outlineLvl w:val="5"/>
    </w:pPr>
  </w:style>
  <w:style w:type="paragraph" w:styleId="Heading7">
    <w:name w:val="heading 7"/>
    <w:basedOn w:val="Heading6"/>
    <w:next w:val="Normal"/>
    <w:link w:val="Heading7Char"/>
    <w:qFormat/>
    <w:rsid w:val="00626552"/>
    <w:pPr>
      <w:ind w:left="4320"/>
      <w:outlineLvl w:val="6"/>
    </w:pPr>
  </w:style>
  <w:style w:type="paragraph" w:styleId="Heading8">
    <w:name w:val="heading 8"/>
    <w:basedOn w:val="Heading7"/>
    <w:next w:val="Normal"/>
    <w:link w:val="Heading8Char"/>
    <w:qFormat/>
    <w:rsid w:val="00626552"/>
    <w:pPr>
      <w:ind w:left="5040"/>
      <w:outlineLvl w:val="7"/>
    </w:pPr>
  </w:style>
  <w:style w:type="paragraph" w:styleId="Heading9">
    <w:name w:val="heading 9"/>
    <w:basedOn w:val="Heading8"/>
    <w:next w:val="Normal"/>
    <w:link w:val="Heading9Char"/>
    <w:qFormat/>
    <w:rsid w:val="0062655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552"/>
    <w:rPr>
      <w:rFonts w:ascii="Times New Roman" w:eastAsia="Times New Roman" w:hAnsi="Times New Roman" w:cs="Times New Roman"/>
      <w:b/>
      <w:caps/>
      <w:sz w:val="28"/>
      <w:szCs w:val="20"/>
    </w:rPr>
  </w:style>
  <w:style w:type="character" w:customStyle="1" w:styleId="Heading2Char">
    <w:name w:val="Heading 2 Char"/>
    <w:basedOn w:val="DefaultParagraphFont"/>
    <w:link w:val="Heading2"/>
    <w:rsid w:val="00626552"/>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626552"/>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626552"/>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626552"/>
    <w:rPr>
      <w:rFonts w:ascii="Times New Roman" w:eastAsia="Times New Roman" w:hAnsi="Times New Roman" w:cs="Times New Roman"/>
      <w:b/>
      <w:sz w:val="28"/>
      <w:szCs w:val="20"/>
    </w:rPr>
  </w:style>
  <w:style w:type="character" w:customStyle="1" w:styleId="Heading6Char">
    <w:name w:val="Heading 6 Char"/>
    <w:basedOn w:val="DefaultParagraphFont"/>
    <w:link w:val="Heading6"/>
    <w:rsid w:val="00626552"/>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626552"/>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626552"/>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626552"/>
    <w:rPr>
      <w:rFonts w:ascii="Times New Roman" w:eastAsia="Times New Roman" w:hAnsi="Times New Roman" w:cs="Times New Roman"/>
      <w:b/>
      <w:sz w:val="28"/>
      <w:szCs w:val="20"/>
    </w:rPr>
  </w:style>
  <w:style w:type="numbering" w:customStyle="1" w:styleId="NoList1">
    <w:name w:val="No List1"/>
    <w:next w:val="NoList"/>
    <w:semiHidden/>
    <w:rsid w:val="00626552"/>
  </w:style>
  <w:style w:type="character" w:customStyle="1" w:styleId="EquationCaption">
    <w:name w:val="_Equation Caption"/>
    <w:rsid w:val="00626552"/>
  </w:style>
  <w:style w:type="paragraph" w:styleId="Caption">
    <w:name w:val="caption"/>
    <w:basedOn w:val="Normal"/>
    <w:next w:val="Normal"/>
    <w:qFormat/>
    <w:rsid w:val="00626552"/>
    <w:pPr>
      <w:spacing w:after="0" w:line="240" w:lineRule="auto"/>
      <w:jc w:val="both"/>
    </w:pPr>
    <w:rPr>
      <w:rFonts w:ascii="Times New Roman" w:eastAsia="Times New Roman" w:hAnsi="Times New Roman" w:cs="Times New Roman"/>
      <w:sz w:val="24"/>
      <w:szCs w:val="20"/>
    </w:rPr>
  </w:style>
  <w:style w:type="paragraph" w:customStyle="1" w:styleId="Docketnumber">
    <w:name w:val="Docket number"/>
    <w:basedOn w:val="Normal"/>
    <w:rsid w:val="00626552"/>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626552"/>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626552"/>
    <w:pPr>
      <w:keepNext/>
      <w:spacing w:after="0" w:line="240" w:lineRule="auto"/>
      <w:jc w:val="center"/>
    </w:pPr>
    <w:rPr>
      <w:rFonts w:ascii="Times New Roman" w:eastAsia="Times New Roman" w:hAnsi="Times New Roman" w:cs="Times New Roman"/>
      <w:b/>
      <w:caps/>
      <w:sz w:val="28"/>
      <w:szCs w:val="20"/>
    </w:rPr>
  </w:style>
  <w:style w:type="character" w:styleId="EndnoteReference">
    <w:name w:val="endnote reference"/>
    <w:semiHidden/>
    <w:rsid w:val="00626552"/>
    <w:rPr>
      <w:vertAlign w:val="superscript"/>
    </w:rPr>
  </w:style>
  <w:style w:type="paragraph" w:customStyle="1" w:styleId="Filename">
    <w:name w:val="Filename"/>
    <w:basedOn w:val="Normal"/>
    <w:rsid w:val="00626552"/>
    <w:pPr>
      <w:spacing w:after="0" w:line="240" w:lineRule="auto"/>
      <w:jc w:val="both"/>
    </w:pPr>
    <w:rPr>
      <w:rFonts w:ascii="Times New Roman" w:eastAsia="Times New Roman" w:hAnsi="Times New Roman" w:cs="Times New Roman"/>
      <w:sz w:val="16"/>
      <w:szCs w:val="20"/>
    </w:rPr>
  </w:style>
  <w:style w:type="paragraph" w:styleId="Footer">
    <w:name w:val="footer"/>
    <w:basedOn w:val="Normal"/>
    <w:link w:val="FooterChar"/>
    <w:rsid w:val="00626552"/>
    <w:pPr>
      <w:tabs>
        <w:tab w:val="center" w:pos="4680"/>
        <w:tab w:val="right" w:pos="9360"/>
      </w:tabs>
      <w:spacing w:after="0" w:line="240" w:lineRule="atLeast"/>
      <w:jc w:val="both"/>
    </w:pPr>
    <w:rPr>
      <w:rFonts w:ascii="Times New Roman" w:eastAsia="Times New Roman" w:hAnsi="Times New Roman" w:cs="Times New Roman"/>
      <w:sz w:val="16"/>
      <w:szCs w:val="20"/>
    </w:rPr>
  </w:style>
  <w:style w:type="character" w:customStyle="1" w:styleId="FooterChar">
    <w:name w:val="Footer Char"/>
    <w:basedOn w:val="DefaultParagraphFont"/>
    <w:link w:val="Footer"/>
    <w:rsid w:val="00626552"/>
    <w:rPr>
      <w:rFonts w:ascii="Times New Roman" w:eastAsia="Times New Roman" w:hAnsi="Times New Roman" w:cs="Times New Roman"/>
      <w:sz w:val="16"/>
      <w:szCs w:val="20"/>
    </w:rPr>
  </w:style>
  <w:style w:type="paragraph" w:customStyle="1" w:styleId="Footnoteparagraph">
    <w:name w:val="Footnote paragraph"/>
    <w:basedOn w:val="FootnoteText"/>
    <w:rsid w:val="00626552"/>
    <w:pPr>
      <w:ind w:firstLine="720"/>
    </w:p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Footnoteparagraph"/>
    <w:link w:val="FootnoteTextChar"/>
    <w:uiPriority w:val="99"/>
    <w:qFormat/>
    <w:rsid w:val="00626552"/>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626552"/>
    <w:rPr>
      <w:rFonts w:ascii="Times New Roman" w:eastAsia="Times New Roman" w:hAnsi="Times New Roman" w:cs="Times New Roman"/>
      <w:sz w:val="20"/>
      <w:szCs w:val="20"/>
    </w:rPr>
  </w:style>
  <w:style w:type="paragraph" w:customStyle="1" w:styleId="Footnotequote">
    <w:name w:val="Footnote quote"/>
    <w:basedOn w:val="FootnoteText"/>
    <w:rsid w:val="00626552"/>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sid w:val="00626552"/>
    <w:rPr>
      <w:position w:val="6"/>
      <w:sz w:val="16"/>
    </w:rPr>
  </w:style>
  <w:style w:type="paragraph" w:styleId="Header">
    <w:name w:val="header"/>
    <w:basedOn w:val="Normal"/>
    <w:link w:val="HeaderChar"/>
    <w:rsid w:val="00626552"/>
    <w:pPr>
      <w:tabs>
        <w:tab w:val="center" w:pos="4680"/>
        <w:tab w:val="right" w:pos="9360"/>
      </w:tabs>
      <w:spacing w:after="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626552"/>
    <w:rPr>
      <w:rFonts w:ascii="Times New Roman" w:eastAsia="Times New Roman" w:hAnsi="Times New Roman" w:cs="Times New Roman"/>
      <w:sz w:val="24"/>
      <w:szCs w:val="20"/>
    </w:rPr>
  </w:style>
  <w:style w:type="paragraph" w:customStyle="1" w:styleId="Indent1">
    <w:name w:val="Indent 1"/>
    <w:basedOn w:val="Normal"/>
    <w:rsid w:val="00626552"/>
    <w:pPr>
      <w:spacing w:after="0" w:line="240" w:lineRule="auto"/>
      <w:ind w:left="720"/>
      <w:jc w:val="both"/>
    </w:pPr>
    <w:rPr>
      <w:rFonts w:ascii="Times New Roman" w:eastAsia="Times New Roman" w:hAnsi="Times New Roman" w:cs="Times New Roman"/>
      <w:sz w:val="24"/>
      <w:szCs w:val="20"/>
    </w:rPr>
  </w:style>
  <w:style w:type="paragraph" w:customStyle="1" w:styleId="Indent2">
    <w:name w:val="Indent 2"/>
    <w:basedOn w:val="Indent1"/>
    <w:rsid w:val="00626552"/>
    <w:pPr>
      <w:ind w:left="1440"/>
    </w:pPr>
  </w:style>
  <w:style w:type="paragraph" w:customStyle="1" w:styleId="Indent3">
    <w:name w:val="Indent 3"/>
    <w:basedOn w:val="Indent2"/>
    <w:rsid w:val="00626552"/>
    <w:pPr>
      <w:ind w:left="2160"/>
    </w:pPr>
  </w:style>
  <w:style w:type="paragraph" w:customStyle="1" w:styleId="Indent4">
    <w:name w:val="Indent 4"/>
    <w:basedOn w:val="Indent3"/>
    <w:rsid w:val="00626552"/>
    <w:pPr>
      <w:ind w:left="2880"/>
    </w:pPr>
  </w:style>
  <w:style w:type="paragraph" w:customStyle="1" w:styleId="Indent5">
    <w:name w:val="Indent 5"/>
    <w:basedOn w:val="Indent4"/>
    <w:rsid w:val="00626552"/>
    <w:pPr>
      <w:ind w:left="3600"/>
    </w:pPr>
  </w:style>
  <w:style w:type="paragraph" w:styleId="Index1">
    <w:name w:val="index 1"/>
    <w:basedOn w:val="Normal"/>
    <w:next w:val="Normal"/>
    <w:semiHidden/>
    <w:rsid w:val="00626552"/>
    <w:pPr>
      <w:tabs>
        <w:tab w:val="left" w:leader="dot" w:pos="9000"/>
        <w:tab w:val="right" w:pos="9360"/>
      </w:tabs>
      <w:suppressAutoHyphens/>
      <w:spacing w:after="0" w:line="240" w:lineRule="auto"/>
      <w:ind w:left="720"/>
      <w:jc w:val="both"/>
    </w:pPr>
    <w:rPr>
      <w:rFonts w:ascii="CG Times" w:eastAsia="Times New Roman" w:hAnsi="CG Times" w:cs="Times New Roman"/>
      <w:spacing w:val="-3"/>
      <w:sz w:val="24"/>
      <w:szCs w:val="20"/>
    </w:rPr>
  </w:style>
  <w:style w:type="paragraph" w:styleId="Index2">
    <w:name w:val="index 2"/>
    <w:basedOn w:val="Normal"/>
    <w:next w:val="Normal"/>
    <w:semiHidden/>
    <w:rsid w:val="00626552"/>
    <w:pPr>
      <w:tabs>
        <w:tab w:val="left" w:leader="dot" w:pos="9000"/>
        <w:tab w:val="right" w:pos="9360"/>
      </w:tabs>
      <w:suppressAutoHyphens/>
      <w:spacing w:after="0" w:line="240" w:lineRule="auto"/>
      <w:ind w:left="720"/>
      <w:jc w:val="both"/>
    </w:pPr>
    <w:rPr>
      <w:rFonts w:ascii="CG Times" w:eastAsia="Times New Roman" w:hAnsi="CG Times" w:cs="Times New Roman"/>
      <w:spacing w:val="-3"/>
      <w:sz w:val="24"/>
      <w:szCs w:val="20"/>
    </w:rPr>
  </w:style>
  <w:style w:type="paragraph" w:customStyle="1" w:styleId="MEE-RFI">
    <w:name w:val="MEE-RFI"/>
    <w:basedOn w:val="Normal"/>
    <w:rsid w:val="00626552"/>
    <w:pPr>
      <w:spacing w:after="0" w:line="240" w:lineRule="auto"/>
      <w:ind w:left="1440" w:hanging="1440"/>
      <w:jc w:val="both"/>
    </w:pPr>
    <w:rPr>
      <w:rFonts w:ascii="Times New Roman" w:eastAsia="Times New Roman" w:hAnsi="Times New Roman" w:cs="Times New Roman"/>
      <w:sz w:val="24"/>
      <w:szCs w:val="20"/>
    </w:rPr>
  </w:style>
  <w:style w:type="paragraph" w:customStyle="1" w:styleId="Normaldouble">
    <w:name w:val="Normal double"/>
    <w:basedOn w:val="Normal"/>
    <w:rsid w:val="00626552"/>
    <w:pPr>
      <w:spacing w:after="0" w:line="480" w:lineRule="auto"/>
      <w:jc w:val="both"/>
    </w:pPr>
    <w:rPr>
      <w:rFonts w:ascii="Times New Roman" w:eastAsia="Times New Roman" w:hAnsi="Times New Roman" w:cs="Times New Roman"/>
      <w:sz w:val="24"/>
      <w:szCs w:val="20"/>
    </w:rPr>
  </w:style>
  <w:style w:type="paragraph" w:styleId="NormalIndent">
    <w:name w:val="Normal Indent"/>
    <w:basedOn w:val="Normal"/>
    <w:rsid w:val="00626552"/>
    <w:pPr>
      <w:spacing w:after="0" w:line="240" w:lineRule="auto"/>
      <w:ind w:left="720"/>
      <w:jc w:val="both"/>
    </w:pPr>
    <w:rPr>
      <w:rFonts w:ascii="Times New Roman" w:eastAsia="Times New Roman" w:hAnsi="Times New Roman" w:cs="Times New Roman"/>
      <w:sz w:val="24"/>
      <w:szCs w:val="20"/>
    </w:rPr>
  </w:style>
  <w:style w:type="character" w:styleId="PageNumber">
    <w:name w:val="page number"/>
    <w:basedOn w:val="DefaultParagraphFont"/>
    <w:rsid w:val="00626552"/>
  </w:style>
  <w:style w:type="paragraph" w:customStyle="1" w:styleId="Paragraph">
    <w:name w:val="Paragraph"/>
    <w:basedOn w:val="Normal"/>
    <w:rsid w:val="00626552"/>
    <w:pPr>
      <w:spacing w:after="0" w:line="240" w:lineRule="auto"/>
      <w:ind w:firstLine="720"/>
      <w:jc w:val="both"/>
    </w:pPr>
    <w:rPr>
      <w:rFonts w:ascii="Times New Roman" w:eastAsia="Times New Roman" w:hAnsi="Times New Roman" w:cs="Times New Roman"/>
      <w:sz w:val="24"/>
      <w:szCs w:val="20"/>
    </w:rPr>
  </w:style>
  <w:style w:type="paragraph" w:customStyle="1" w:styleId="Paragraphdouble">
    <w:name w:val="Paragraph double"/>
    <w:basedOn w:val="Paragraph"/>
    <w:rsid w:val="00626552"/>
    <w:pPr>
      <w:spacing w:line="480" w:lineRule="auto"/>
    </w:pPr>
  </w:style>
  <w:style w:type="paragraph" w:customStyle="1" w:styleId="Quoteindent">
    <w:name w:val="Quote indent"/>
    <w:basedOn w:val="Normal"/>
    <w:next w:val="Normal"/>
    <w:rsid w:val="00626552"/>
    <w:pPr>
      <w:spacing w:after="60" w:line="220" w:lineRule="exact"/>
      <w:ind w:left="720" w:right="720"/>
      <w:jc w:val="both"/>
    </w:pPr>
    <w:rPr>
      <w:rFonts w:ascii="Times New Roman" w:eastAsia="Times New Roman" w:hAnsi="Times New Roman" w:cs="Times New Roman"/>
      <w:szCs w:val="20"/>
    </w:rPr>
  </w:style>
  <w:style w:type="paragraph" w:customStyle="1" w:styleId="Quoteparagraph">
    <w:name w:val="Quote paragraph"/>
    <w:basedOn w:val="Quoteindent"/>
    <w:rsid w:val="00626552"/>
    <w:pPr>
      <w:ind w:firstLine="720"/>
    </w:pPr>
  </w:style>
  <w:style w:type="paragraph" w:customStyle="1" w:styleId="RE">
    <w:name w:val="RE"/>
    <w:basedOn w:val="Normal"/>
    <w:rsid w:val="00626552"/>
    <w:pPr>
      <w:spacing w:after="0" w:line="240" w:lineRule="auto"/>
      <w:ind w:left="720" w:hanging="720"/>
      <w:jc w:val="both"/>
    </w:pPr>
    <w:rPr>
      <w:rFonts w:ascii="Times New Roman" w:eastAsia="Times New Roman" w:hAnsi="Times New Roman" w:cs="Times New Roman"/>
      <w:sz w:val="24"/>
      <w:szCs w:val="20"/>
    </w:rPr>
  </w:style>
  <w:style w:type="paragraph" w:customStyle="1" w:styleId="Sectionheading">
    <w:name w:val="Section heading"/>
    <w:basedOn w:val="Normal"/>
    <w:next w:val="Normal"/>
    <w:rsid w:val="00626552"/>
    <w:pPr>
      <w:keepNext/>
      <w:spacing w:after="0" w:line="480" w:lineRule="auto"/>
      <w:jc w:val="center"/>
    </w:pPr>
    <w:rPr>
      <w:rFonts w:ascii="Times New Roman" w:eastAsia="Times New Roman" w:hAnsi="Times New Roman" w:cs="Times New Roman"/>
      <w:b/>
      <w:sz w:val="24"/>
      <w:szCs w:val="20"/>
    </w:rPr>
  </w:style>
  <w:style w:type="paragraph" w:customStyle="1" w:styleId="Sectionnumber">
    <w:name w:val="Section number"/>
    <w:basedOn w:val="Normal"/>
    <w:next w:val="Paragraphdouble"/>
    <w:rsid w:val="00626552"/>
    <w:pPr>
      <w:keepNext/>
      <w:spacing w:after="0" w:line="480" w:lineRule="auto"/>
      <w:jc w:val="center"/>
    </w:pPr>
    <w:rPr>
      <w:rFonts w:ascii="Times New Roman" w:eastAsia="Times New Roman" w:hAnsi="Times New Roman" w:cs="Times New Roman"/>
      <w:b/>
      <w:caps/>
      <w:sz w:val="24"/>
      <w:szCs w:val="20"/>
    </w:rPr>
  </w:style>
  <w:style w:type="paragraph" w:styleId="TableofAuthorities">
    <w:name w:val="table of authorities"/>
    <w:basedOn w:val="Normal"/>
    <w:next w:val="Normal"/>
    <w:semiHidden/>
    <w:rsid w:val="00626552"/>
    <w:pPr>
      <w:tabs>
        <w:tab w:val="right" w:leader="dot" w:pos="9360"/>
      </w:tabs>
      <w:spacing w:after="0" w:line="240" w:lineRule="auto"/>
      <w:ind w:left="240" w:hanging="240"/>
    </w:pPr>
    <w:rPr>
      <w:rFonts w:ascii="Times New Roman" w:eastAsia="Times New Roman" w:hAnsi="Times New Roman" w:cs="Times New Roman"/>
      <w:sz w:val="20"/>
      <w:szCs w:val="20"/>
    </w:rPr>
  </w:style>
  <w:style w:type="paragraph" w:styleId="TOAHeading">
    <w:name w:val="toa heading"/>
    <w:basedOn w:val="Normal"/>
    <w:next w:val="Normal"/>
    <w:semiHidden/>
    <w:rsid w:val="00626552"/>
    <w:pPr>
      <w:keepNext/>
      <w:spacing w:before="240" w:after="120" w:line="240" w:lineRule="auto"/>
    </w:pPr>
    <w:rPr>
      <w:rFonts w:ascii="Times New Roman" w:eastAsia="Times New Roman" w:hAnsi="Times New Roman" w:cs="Times New Roman"/>
      <w:b/>
      <w:caps/>
      <w:sz w:val="20"/>
      <w:szCs w:val="20"/>
    </w:rPr>
  </w:style>
  <w:style w:type="paragraph" w:styleId="TOC1">
    <w:name w:val="toc 1"/>
    <w:basedOn w:val="Heading1"/>
    <w:next w:val="Normal"/>
    <w:uiPriority w:val="39"/>
    <w:rsid w:val="00626552"/>
    <w:pPr>
      <w:keepNext w:val="0"/>
      <w:spacing w:before="360" w:after="0"/>
      <w:ind w:left="0" w:firstLine="0"/>
      <w:jc w:val="left"/>
      <w:outlineLvl w:val="9"/>
    </w:pPr>
    <w:rPr>
      <w:rFonts w:ascii="Arial" w:hAnsi="Arial" w:cs="Arial"/>
      <w:bCs/>
      <w:sz w:val="24"/>
      <w:szCs w:val="24"/>
    </w:rPr>
  </w:style>
  <w:style w:type="paragraph" w:styleId="TOC2">
    <w:name w:val="toc 2"/>
    <w:basedOn w:val="TOC1"/>
    <w:next w:val="Normal"/>
    <w:uiPriority w:val="39"/>
    <w:rsid w:val="00626552"/>
    <w:pPr>
      <w:spacing w:before="240"/>
    </w:pPr>
    <w:rPr>
      <w:rFonts w:ascii="Times New Roman" w:hAnsi="Times New Roman" w:cs="Times New Roman"/>
      <w:caps w:val="0"/>
      <w:sz w:val="20"/>
      <w:szCs w:val="20"/>
    </w:rPr>
  </w:style>
  <w:style w:type="paragraph" w:styleId="TOC3">
    <w:name w:val="toc 3"/>
    <w:basedOn w:val="TOC2"/>
    <w:next w:val="Normal"/>
    <w:uiPriority w:val="39"/>
    <w:rsid w:val="00626552"/>
    <w:pPr>
      <w:spacing w:before="0"/>
      <w:ind w:left="240"/>
    </w:pPr>
    <w:rPr>
      <w:b w:val="0"/>
      <w:bCs w:val="0"/>
    </w:rPr>
  </w:style>
  <w:style w:type="paragraph" w:styleId="TOC4">
    <w:name w:val="toc 4"/>
    <w:basedOn w:val="TOC3"/>
    <w:next w:val="Normal"/>
    <w:uiPriority w:val="39"/>
    <w:rsid w:val="00626552"/>
    <w:pPr>
      <w:ind w:left="480"/>
    </w:pPr>
  </w:style>
  <w:style w:type="paragraph" w:styleId="TOC5">
    <w:name w:val="toc 5"/>
    <w:basedOn w:val="TOC4"/>
    <w:next w:val="Normal"/>
    <w:semiHidden/>
    <w:rsid w:val="00626552"/>
    <w:pPr>
      <w:ind w:left="720"/>
    </w:pPr>
  </w:style>
  <w:style w:type="paragraph" w:styleId="TOC6">
    <w:name w:val="toc 6"/>
    <w:basedOn w:val="TOC5"/>
    <w:next w:val="Normal"/>
    <w:semiHidden/>
    <w:rsid w:val="00626552"/>
    <w:pPr>
      <w:ind w:left="960"/>
    </w:pPr>
  </w:style>
  <w:style w:type="paragraph" w:styleId="TOC7">
    <w:name w:val="toc 7"/>
    <w:basedOn w:val="TOC6"/>
    <w:next w:val="Normal"/>
    <w:semiHidden/>
    <w:rsid w:val="00626552"/>
    <w:pPr>
      <w:ind w:left="1200"/>
    </w:pPr>
  </w:style>
  <w:style w:type="paragraph" w:styleId="TOC8">
    <w:name w:val="toc 8"/>
    <w:basedOn w:val="TOC7"/>
    <w:next w:val="Normal"/>
    <w:semiHidden/>
    <w:rsid w:val="00626552"/>
    <w:pPr>
      <w:ind w:left="1440"/>
    </w:pPr>
  </w:style>
  <w:style w:type="paragraph" w:styleId="TOC9">
    <w:name w:val="toc 9"/>
    <w:basedOn w:val="TOC8"/>
    <w:next w:val="Normal"/>
    <w:semiHidden/>
    <w:rsid w:val="00626552"/>
    <w:pPr>
      <w:ind w:left="1680"/>
    </w:pPr>
  </w:style>
  <w:style w:type="paragraph" w:customStyle="1" w:styleId="label-normal">
    <w:name w:val="label-normal"/>
    <w:basedOn w:val="Normal"/>
    <w:rsid w:val="00626552"/>
    <w:pPr>
      <w:spacing w:after="0" w:line="216" w:lineRule="auto"/>
      <w:ind w:left="187" w:right="101"/>
    </w:pPr>
    <w:rPr>
      <w:rFonts w:ascii="Times New Roman" w:eastAsia="Times New Roman" w:hAnsi="Times New Roman" w:cs="Times New Roman"/>
      <w:sz w:val="20"/>
      <w:szCs w:val="20"/>
    </w:rPr>
  </w:style>
  <w:style w:type="paragraph" w:customStyle="1" w:styleId="Testimony">
    <w:name w:val="Testimony"/>
    <w:basedOn w:val="Normal"/>
    <w:rsid w:val="00626552"/>
    <w:pPr>
      <w:spacing w:after="0" w:line="480" w:lineRule="auto"/>
      <w:ind w:left="720" w:hanging="720"/>
      <w:jc w:val="both"/>
    </w:pPr>
    <w:rPr>
      <w:rFonts w:ascii="Times New Roman" w:eastAsia="Times New Roman" w:hAnsi="Times New Roman" w:cs="Times New Roman"/>
      <w:sz w:val="24"/>
      <w:szCs w:val="20"/>
    </w:rPr>
  </w:style>
  <w:style w:type="paragraph" w:customStyle="1" w:styleId="fq1">
    <w:name w:val="fq1"/>
    <w:basedOn w:val="FootnoteText"/>
    <w:rsid w:val="00626552"/>
    <w:pPr>
      <w:ind w:left="720" w:hanging="720"/>
    </w:pPr>
  </w:style>
  <w:style w:type="paragraph" w:customStyle="1" w:styleId="Bullet-one">
    <w:name w:val="Bullet-one"/>
    <w:basedOn w:val="Paragraphdouble"/>
    <w:rsid w:val="00626552"/>
    <w:pPr>
      <w:spacing w:after="120" w:line="360" w:lineRule="auto"/>
      <w:ind w:left="1080" w:hanging="360"/>
    </w:pPr>
  </w:style>
  <w:style w:type="paragraph" w:customStyle="1" w:styleId="DOCKETNO">
    <w:name w:val="DOCKET NO."/>
    <w:rsid w:val="00626552"/>
    <w:pPr>
      <w:spacing w:after="480" w:line="240" w:lineRule="exact"/>
      <w:jc w:val="center"/>
    </w:pPr>
    <w:rPr>
      <w:rFonts w:ascii="Times New Roman" w:eastAsia="Times New Roman" w:hAnsi="Times New Roman" w:cs="Times New Roman"/>
      <w:b/>
      <w:caps/>
      <w:sz w:val="28"/>
      <w:szCs w:val="20"/>
    </w:rPr>
  </w:style>
  <w:style w:type="paragraph" w:customStyle="1" w:styleId="DOCKETSTYLE0">
    <w:name w:val="DOCKET STYLE"/>
    <w:rsid w:val="00626552"/>
    <w:pPr>
      <w:tabs>
        <w:tab w:val="left" w:pos="4608"/>
        <w:tab w:val="left" w:pos="5616"/>
        <w:tab w:val="left" w:pos="6912"/>
      </w:tabs>
      <w:spacing w:after="240" w:line="240" w:lineRule="exact"/>
    </w:pPr>
    <w:rPr>
      <w:rFonts w:ascii="Times New Roman" w:eastAsia="Times New Roman" w:hAnsi="Times New Roman" w:cs="Times New Roman"/>
      <w:b/>
      <w:caps/>
      <w:sz w:val="24"/>
      <w:szCs w:val="20"/>
    </w:rPr>
  </w:style>
  <w:style w:type="paragraph" w:customStyle="1" w:styleId="PL">
    <w:name w:val="PL"/>
    <w:aliases w:val="BR,MT"/>
    <w:rsid w:val="00626552"/>
    <w:pPr>
      <w:spacing w:after="0" w:line="480" w:lineRule="exact"/>
      <w:ind w:firstLine="720"/>
      <w:jc w:val="both"/>
    </w:pPr>
    <w:rPr>
      <w:rFonts w:ascii="Times New Roman" w:eastAsia="Times New Roman" w:hAnsi="Times New Roman" w:cs="Times New Roman"/>
      <w:sz w:val="24"/>
      <w:szCs w:val="20"/>
    </w:rPr>
  </w:style>
  <w:style w:type="paragraph" w:customStyle="1" w:styleId="REFERENCELINEMEMO">
    <w:name w:val="REFERENCE LINE MEMO"/>
    <w:rsid w:val="00626552"/>
    <w:pPr>
      <w:tabs>
        <w:tab w:val="left" w:pos="2016"/>
      </w:tabs>
      <w:spacing w:after="240" w:line="240" w:lineRule="exact"/>
      <w:ind w:left="2016" w:hanging="2016"/>
      <w:jc w:val="both"/>
    </w:pPr>
    <w:rPr>
      <w:rFonts w:ascii="emperorPS" w:eastAsia="Times New Roman" w:hAnsi="emperorPS" w:cs="Times New Roman"/>
      <w:sz w:val="24"/>
      <w:szCs w:val="20"/>
    </w:rPr>
  </w:style>
  <w:style w:type="paragraph" w:customStyle="1" w:styleId="single">
    <w:name w:val="single"/>
    <w:basedOn w:val="Normal"/>
    <w:rsid w:val="00626552"/>
    <w:pPr>
      <w:keepNext/>
      <w:keepLines/>
      <w:tabs>
        <w:tab w:val="left" w:pos="0"/>
      </w:tabs>
      <w:suppressAutoHyphens/>
      <w:spacing w:after="0" w:line="240" w:lineRule="auto"/>
      <w:jc w:val="both"/>
    </w:pPr>
    <w:rPr>
      <w:rFonts w:ascii="Times New Roman" w:eastAsia="Times New Roman" w:hAnsi="Times New Roman" w:cs="Times New Roman"/>
      <w:spacing w:val="-3"/>
      <w:sz w:val="24"/>
      <w:szCs w:val="20"/>
    </w:rPr>
  </w:style>
  <w:style w:type="paragraph" w:customStyle="1" w:styleId="qa">
    <w:name w:val="qa"/>
    <w:basedOn w:val="Normal"/>
    <w:rsid w:val="00626552"/>
    <w:pPr>
      <w:spacing w:after="0" w:line="240" w:lineRule="auto"/>
      <w:ind w:left="1080" w:right="720" w:hanging="360"/>
      <w:jc w:val="both"/>
    </w:pPr>
    <w:rPr>
      <w:rFonts w:ascii="Times New Roman" w:eastAsia="Times New Roman" w:hAnsi="Times New Roman" w:cs="Times New Roman"/>
      <w:sz w:val="24"/>
      <w:szCs w:val="20"/>
    </w:rPr>
  </w:style>
  <w:style w:type="table" w:styleId="TableGrid">
    <w:name w:val="Table Grid"/>
    <w:basedOn w:val="TableNormal"/>
    <w:uiPriority w:val="39"/>
    <w:rsid w:val="00626552"/>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26552"/>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626552"/>
    <w:rPr>
      <w:rFonts w:ascii="Tahoma" w:eastAsia="Times New Roman" w:hAnsi="Tahoma" w:cs="Tahoma"/>
      <w:sz w:val="16"/>
      <w:szCs w:val="16"/>
    </w:rPr>
  </w:style>
  <w:style w:type="character" w:styleId="Hyperlink">
    <w:name w:val="Hyperlink"/>
    <w:uiPriority w:val="99"/>
    <w:rsid w:val="00626552"/>
    <w:rPr>
      <w:color w:val="0000FF"/>
      <w:u w:val="single"/>
    </w:rPr>
  </w:style>
  <w:style w:type="character" w:styleId="Strong">
    <w:name w:val="Strong"/>
    <w:qFormat/>
    <w:rsid w:val="00626552"/>
    <w:rPr>
      <w:b/>
      <w:bCs/>
    </w:rPr>
  </w:style>
  <w:style w:type="paragraph" w:styleId="BodyText">
    <w:name w:val="Body Text"/>
    <w:basedOn w:val="Normal"/>
    <w:link w:val="BodyTextChar"/>
    <w:uiPriority w:val="1"/>
    <w:qFormat/>
    <w:rsid w:val="00626552"/>
    <w:pPr>
      <w:widowControl w:val="0"/>
      <w:autoSpaceDE w:val="0"/>
      <w:autoSpaceDN w:val="0"/>
      <w:spacing w:before="137" w:after="0" w:line="240" w:lineRule="auto"/>
      <w:ind w:left="1660" w:hanging="720"/>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626552"/>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626552"/>
    <w:pPr>
      <w:widowControl w:val="0"/>
      <w:autoSpaceDE w:val="0"/>
      <w:autoSpaceDN w:val="0"/>
      <w:spacing w:before="137" w:after="0" w:line="240" w:lineRule="auto"/>
      <w:ind w:left="1660" w:hanging="720"/>
    </w:pPr>
    <w:rPr>
      <w:rFonts w:ascii="Times New Roman" w:eastAsia="Times New Roman" w:hAnsi="Times New Roman" w:cs="Times New Roman"/>
      <w:lang w:bidi="en-US"/>
    </w:rPr>
  </w:style>
  <w:style w:type="character" w:styleId="CommentReference">
    <w:name w:val="annotation reference"/>
    <w:rsid w:val="00626552"/>
    <w:rPr>
      <w:sz w:val="16"/>
      <w:szCs w:val="16"/>
    </w:rPr>
  </w:style>
  <w:style w:type="paragraph" w:styleId="CommentText">
    <w:name w:val="annotation text"/>
    <w:basedOn w:val="Normal"/>
    <w:link w:val="CommentTextChar"/>
    <w:rsid w:val="00626552"/>
    <w:pPr>
      <w:spacing w:after="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265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26552"/>
    <w:rPr>
      <w:b/>
      <w:bCs/>
    </w:rPr>
  </w:style>
  <w:style w:type="character" w:customStyle="1" w:styleId="CommentSubjectChar">
    <w:name w:val="Comment Subject Char"/>
    <w:basedOn w:val="CommentTextChar"/>
    <w:link w:val="CommentSubject"/>
    <w:rsid w:val="00626552"/>
    <w:rPr>
      <w:rFonts w:ascii="Times New Roman" w:eastAsia="Times New Roman" w:hAnsi="Times New Roman" w:cs="Times New Roman"/>
      <w:b/>
      <w:bCs/>
      <w:sz w:val="20"/>
      <w:szCs w:val="20"/>
    </w:rPr>
  </w:style>
  <w:style w:type="paragraph" w:styleId="Revision">
    <w:name w:val="Revision"/>
    <w:hidden/>
    <w:uiPriority w:val="99"/>
    <w:semiHidden/>
    <w:rsid w:val="00626552"/>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66424D"/>
    <w:pPr>
      <w:keepLines/>
      <w:spacing w:before="240" w:after="0" w:line="259" w:lineRule="auto"/>
      <w:ind w:left="0" w:firstLine="0"/>
      <w:jc w:val="left"/>
      <w:outlineLvl w:val="9"/>
    </w:pPr>
    <w:rPr>
      <w:rFonts w:asciiTheme="majorHAnsi" w:eastAsiaTheme="majorEastAsia" w:hAnsiTheme="majorHAnsi" w:cstheme="majorBidi"/>
      <w:b w:val="0"/>
      <w:cap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FBDCF-B4AB-49CA-8289-C3E06B046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3710</Words>
  <Characters>21150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2022-05-11T19:29:00Z</dcterms:created>
  <dcterms:modified xsi:type="dcterms:W3CDTF">2022-05-11T19:30:00Z</dcterms:modified>
</cp:coreProperties>
</file>